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5E2963" w14:textId="5C348552" w:rsidR="009E7EF6" w:rsidRPr="00C450D1" w:rsidRDefault="009E7EF6" w:rsidP="00391CDC">
      <w:pPr>
        <w:pStyle w:val="Heading1"/>
        <w:spacing w:before="0" w:after="0" w:line="240" w:lineRule="auto"/>
        <w:ind w:right="1985"/>
        <w:rPr>
          <w:rFonts w:asciiTheme="minorHAnsi" w:eastAsiaTheme="minorEastAsia" w:hAnsiTheme="minorHAnsi" w:cstheme="minorBidi"/>
          <w:iCs w:val="0"/>
          <w:caps w:val="0"/>
          <w:color w:val="414042" w:themeColor="text1"/>
          <w:sz w:val="22"/>
          <w:szCs w:val="22"/>
          <w:lang w:val="en-AU" w:bidi="ar-SA"/>
        </w:rPr>
      </w:pPr>
      <w:bookmarkStart w:id="0" w:name="InvestmentsCurrentMarketView"/>
      <w:r w:rsidRPr="00C450D1">
        <w:rPr>
          <w:rFonts w:asciiTheme="minorHAnsi" w:eastAsiaTheme="minorEastAsia" w:hAnsiTheme="minorHAnsi" w:cstheme="minorBidi"/>
          <w:iCs w:val="0"/>
          <w:caps w:val="0"/>
          <w:color w:val="414042" w:themeColor="text1"/>
          <w:sz w:val="22"/>
          <w:szCs w:val="22"/>
          <w:lang w:val="en-AU" w:bidi="ar-SA"/>
        </w:rPr>
        <w:t>Current Market View</w:t>
      </w:r>
    </w:p>
    <w:p w14:paraId="69DA8B77" w14:textId="5A246422" w:rsidR="001C4983" w:rsidRPr="001C4983" w:rsidRDefault="001C4983" w:rsidP="00912096">
      <w:pPr>
        <w:rPr>
          <w:b/>
          <w:bCs/>
        </w:rPr>
      </w:pPr>
      <w:r w:rsidRPr="001C4983">
        <w:rPr>
          <w:b/>
          <w:bCs/>
        </w:rPr>
        <w:t>Investment Markets</w:t>
      </w:r>
    </w:p>
    <w:p w14:paraId="2B5D34C2" w14:textId="12EA1B96" w:rsidR="00502D7A" w:rsidRPr="00502D7A" w:rsidRDefault="00502D7A" w:rsidP="00F40119">
      <w:pPr>
        <w:rPr>
          <w:b/>
          <w:bCs/>
        </w:rPr>
      </w:pPr>
      <w:r w:rsidRPr="00502D7A">
        <w:rPr>
          <w:b/>
          <w:bCs/>
        </w:rPr>
        <w:t>Global Markets</w:t>
      </w:r>
    </w:p>
    <w:p w14:paraId="1A7CF4B7" w14:textId="6FE459B3" w:rsidR="002777E9" w:rsidRDefault="002777E9" w:rsidP="00F40119">
      <w:r>
        <w:t xml:space="preserve">Finally, some sanity over May 2025 for global markets as the President Trump </w:t>
      </w:r>
      <w:r w:rsidRPr="002777E9">
        <w:rPr>
          <w:b/>
          <w:bCs/>
        </w:rPr>
        <w:t xml:space="preserve">fixed </w:t>
      </w:r>
      <w:r>
        <w:rPr>
          <w:b/>
          <w:bCs/>
        </w:rPr>
        <w:t xml:space="preserve">trade tariffs </w:t>
      </w:r>
      <w:r w:rsidRPr="002777E9">
        <w:rPr>
          <w:b/>
          <w:bCs/>
        </w:rPr>
        <w:t>for 9</w:t>
      </w:r>
      <w:r>
        <w:rPr>
          <w:b/>
          <w:bCs/>
        </w:rPr>
        <w:t>0</w:t>
      </w:r>
      <w:r w:rsidRPr="002777E9">
        <w:rPr>
          <w:b/>
          <w:bCs/>
        </w:rPr>
        <w:t xml:space="preserve"> days</w:t>
      </w:r>
      <w:r>
        <w:t xml:space="preserve">.  </w:t>
      </w:r>
      <w:r w:rsidRPr="002777E9">
        <w:t xml:space="preserve">Investors are reading the tariff situation better with signs that suggest that they may have seen the worst of the volatility associated with the introduction of the US trade tariffs. The market appreciated the break in constant tariff related announcements and resumed the </w:t>
      </w:r>
      <w:r w:rsidRPr="002777E9">
        <w:rPr>
          <w:b/>
          <w:bCs/>
        </w:rPr>
        <w:t>cautious optimism</w:t>
      </w:r>
      <w:r w:rsidRPr="002777E9">
        <w:t xml:space="preserve"> that we anticipate will supported by the economic data to follow in the upcoming months. Remember, unilateral tariff rates are expected to resume on the </w:t>
      </w:r>
      <w:r w:rsidRPr="002777E9">
        <w:rPr>
          <w:b/>
          <w:bCs/>
        </w:rPr>
        <w:t>9th of July 2025</w:t>
      </w:r>
      <w:r w:rsidRPr="002777E9">
        <w:t>.</w:t>
      </w:r>
    </w:p>
    <w:p w14:paraId="1929CAA4" w14:textId="769B619C" w:rsidR="002777E9" w:rsidRDefault="00803508" w:rsidP="00F40119">
      <w:r>
        <w:t>The Gl</w:t>
      </w:r>
      <w:r w:rsidR="006135A2">
        <w:t xml:space="preserve">obal Markets </w:t>
      </w:r>
      <w:r>
        <w:t xml:space="preserve">finished the month </w:t>
      </w:r>
      <w:r w:rsidR="002777E9">
        <w:t>strongly believing the worst was behind us however, a new t</w:t>
      </w:r>
      <w:r w:rsidR="009D289D">
        <w:t>hr</w:t>
      </w:r>
      <w:r w:rsidR="002777E9">
        <w:t xml:space="preserve">eat to </w:t>
      </w:r>
      <w:r w:rsidR="009D289D">
        <w:t>northern hemisphere</w:t>
      </w:r>
      <w:r w:rsidR="002777E9">
        <w:t xml:space="preserve"> </w:t>
      </w:r>
      <w:r w:rsidR="009D289D" w:rsidRPr="009D289D">
        <w:rPr>
          <w:b/>
          <w:bCs/>
        </w:rPr>
        <w:t>p</w:t>
      </w:r>
      <w:r w:rsidR="002777E9" w:rsidRPr="009D289D">
        <w:rPr>
          <w:b/>
          <w:bCs/>
        </w:rPr>
        <w:t>olitical uncertainty</w:t>
      </w:r>
      <w:r w:rsidR="002777E9">
        <w:t xml:space="preserve"> has evolved with the latest flare up in the Middle East. Isreal has made pre-emptive strikes against Iran believing that the threat of </w:t>
      </w:r>
      <w:r w:rsidR="009D289D">
        <w:t>nuclear weapons</w:t>
      </w:r>
      <w:r w:rsidR="002777E9">
        <w:t xml:space="preserve"> was eminent.</w:t>
      </w:r>
      <w:r w:rsidR="009D289D">
        <w:t xml:space="preserve"> This is just not what the world needs currently. Let’s hope common sense prevails and a ceasefire can be quickly negotiated.</w:t>
      </w:r>
    </w:p>
    <w:p w14:paraId="1C457C2E" w14:textId="7F6AFF36" w:rsidR="00803508" w:rsidRDefault="006135A2" w:rsidP="00F40119">
      <w:r>
        <w:t xml:space="preserve">US </w:t>
      </w:r>
      <w:r w:rsidR="00C7157C">
        <w:t>President Donald Trump</w:t>
      </w:r>
      <w:r w:rsidR="004B3368">
        <w:t xml:space="preserve"> </w:t>
      </w:r>
      <w:r w:rsidR="009D289D">
        <w:t>has been distracted with the domestic situation with illegal immigrants. While the people support the idea of a clean-up, the manner of executing the policy has created internal conflict with the military now involved. Again, let’s hope this does not escalate as we do not need any more violence in our society.</w:t>
      </w:r>
    </w:p>
    <w:p w14:paraId="246B1CF6" w14:textId="49C0C38E" w:rsidR="00001072" w:rsidRPr="00001072" w:rsidRDefault="00001072" w:rsidP="00F40119">
      <w:pPr>
        <w:rPr>
          <w:b/>
          <w:bCs/>
        </w:rPr>
      </w:pPr>
      <w:r w:rsidRPr="00001072">
        <w:rPr>
          <w:b/>
          <w:bCs/>
        </w:rPr>
        <w:t>Share Markets</w:t>
      </w:r>
    </w:p>
    <w:p w14:paraId="5EFF238A" w14:textId="1F2C7491" w:rsidR="00DA0DD3" w:rsidRPr="00C97425" w:rsidRDefault="00803508" w:rsidP="00F40119">
      <w:r>
        <w:t>T</w:t>
      </w:r>
      <w:r w:rsidR="004B3368">
        <w:t xml:space="preserve">he </w:t>
      </w:r>
      <w:r w:rsidR="004B32E4" w:rsidRPr="00C97425">
        <w:t>US</w:t>
      </w:r>
      <w:r w:rsidR="004B3368" w:rsidRPr="00C97425">
        <w:t xml:space="preserve"> share markets </w:t>
      </w:r>
      <w:r w:rsidR="00001072" w:rsidRPr="00C97425">
        <w:t xml:space="preserve">led the rebound in shares as short positions were covered and </w:t>
      </w:r>
      <w:r w:rsidR="00DA0DD3" w:rsidRPr="00C97425">
        <w:t>cash re-invested opportunistically. The response was sharp and again the technology sector was the stand-out</w:t>
      </w:r>
      <w:r w:rsidR="00C97425">
        <w:t xml:space="preserve"> performer</w:t>
      </w:r>
      <w:r w:rsidR="00DA0DD3" w:rsidRPr="00C97425">
        <w:t xml:space="preserve">. </w:t>
      </w:r>
    </w:p>
    <w:p w14:paraId="5A391FB7" w14:textId="649B61BC" w:rsidR="006135A2" w:rsidRPr="00CA374B" w:rsidRDefault="00CA374B" w:rsidP="00F40119">
      <w:r>
        <w:t>T</w:t>
      </w:r>
      <w:r w:rsidR="001C4A6F">
        <w:t xml:space="preserve">he </w:t>
      </w:r>
      <w:r>
        <w:t>9</w:t>
      </w:r>
      <w:r w:rsidRPr="001C4A6F">
        <w:rPr>
          <w:vertAlign w:val="superscript"/>
        </w:rPr>
        <w:t>th of</w:t>
      </w:r>
      <w:r w:rsidR="001C4A6F">
        <w:t xml:space="preserve"> </w:t>
      </w:r>
      <w:r>
        <w:t>April</w:t>
      </w:r>
      <w:r w:rsidR="001C4A6F">
        <w:t xml:space="preserve"> 2025 </w:t>
      </w:r>
      <w:r>
        <w:t xml:space="preserve">announcement of a </w:t>
      </w:r>
      <w:r w:rsidR="006135A2">
        <w:t xml:space="preserve">90 day pause </w:t>
      </w:r>
      <w:r>
        <w:t xml:space="preserve">in </w:t>
      </w:r>
      <w:r w:rsidR="002D7EED">
        <w:t xml:space="preserve">US </w:t>
      </w:r>
      <w:r>
        <w:t>tar</w:t>
      </w:r>
      <w:r w:rsidR="006135A2">
        <w:t xml:space="preserve">iffs with </w:t>
      </w:r>
      <w:r w:rsidR="006135A2" w:rsidRPr="006515F3">
        <w:rPr>
          <w:b/>
          <w:bCs/>
        </w:rPr>
        <w:t xml:space="preserve">a flat rate instead of 10% </w:t>
      </w:r>
      <w:r>
        <w:t>(</w:t>
      </w:r>
      <w:r w:rsidR="006135A2">
        <w:t>except China</w:t>
      </w:r>
      <w:r>
        <w:t>)</w:t>
      </w:r>
      <w:r w:rsidR="006135A2">
        <w:t xml:space="preserve"> who ha</w:t>
      </w:r>
      <w:r>
        <w:t>ve recently negotiated terms of 30% for most goods</w:t>
      </w:r>
      <w:r w:rsidR="00C97425">
        <w:t xml:space="preserve"> has provided some certainty to the market and a chance to regroup</w:t>
      </w:r>
      <w:r w:rsidR="006135A2">
        <w:t xml:space="preserve">. </w:t>
      </w:r>
    </w:p>
    <w:p w14:paraId="4FAFE018" w14:textId="71AA6BB3" w:rsidR="00BB1A58" w:rsidRDefault="00C97425" w:rsidP="00F40119">
      <w:r>
        <w:t>For stock prices, the f</w:t>
      </w:r>
      <w:r w:rsidR="00D17CAB" w:rsidRPr="00D17CAB">
        <w:t xml:space="preserve">irst-quarter S&amp;P 500 earnings </w:t>
      </w:r>
      <w:r w:rsidR="00D17CAB">
        <w:t xml:space="preserve">were </w:t>
      </w:r>
      <w:r w:rsidR="00D17CAB" w:rsidRPr="00D17CAB">
        <w:t>up 13.4% compared to market expectations of 7.2%, according to FactSet</w:t>
      </w:r>
      <w:r w:rsidR="00D17CAB">
        <w:t>. They also stated that o</w:t>
      </w:r>
      <w:r w:rsidR="00D17CAB" w:rsidRPr="00D17CAB">
        <w:t xml:space="preserve">f the 90% of S&amp;P 500 companies that have reported, </w:t>
      </w:r>
      <w:r w:rsidR="00D17CAB" w:rsidRPr="00D17CAB">
        <w:rPr>
          <w:b/>
          <w:bCs/>
        </w:rPr>
        <w:t>78% have beaten consensus earnings expectations</w:t>
      </w:r>
      <w:r w:rsidR="00D17CAB" w:rsidRPr="00D17CAB">
        <w:t>, above the 77% one-year and five-year averages of 77%</w:t>
      </w:r>
      <w:r w:rsidR="00D17CAB">
        <w:t>. The</w:t>
      </w:r>
      <w:r w:rsidR="004B32E4">
        <w:t xml:space="preserve"> Australian company reporting season was subdued with markets impacted by the volatility.</w:t>
      </w:r>
    </w:p>
    <w:p w14:paraId="7265C274" w14:textId="01FA1A77" w:rsidR="00BB1A58" w:rsidRDefault="00BB1A58" w:rsidP="00BB1A58">
      <w:r w:rsidRPr="00BB1A58">
        <w:t xml:space="preserve">While geopolitical tensions simmered and the US tariff policy offered a temporary reprieve, economic observers kept a close eye on the performance of other global markets. Europe faced its own set of challenges, with industrial output showing signs of slowing and concerns over energy dependency arising due to fluctuations in supply from key providers. Meanwhile, Asian markets </w:t>
      </w:r>
      <w:r w:rsidRPr="00BB1A58">
        <w:lastRenderedPageBreak/>
        <w:t>exhibited resilience, continuing to capitali</w:t>
      </w:r>
      <w:r>
        <w:t>s</w:t>
      </w:r>
      <w:r w:rsidRPr="00BB1A58">
        <w:t>e on regional trade agreements that mitigate some of the uncertainty surrounding US tariffs.</w:t>
      </w:r>
    </w:p>
    <w:p w14:paraId="1C05950A" w14:textId="14EFD961" w:rsidR="00BB1A58" w:rsidRDefault="00BB1A58" w:rsidP="00BB1A58">
      <w:r w:rsidRPr="00BB1A58">
        <w:t xml:space="preserve">In the commodities sector, oil prices surged in response to instability in the Middle East, amplifying inflationary fears across the globe. Gold, as expected, became </w:t>
      </w:r>
      <w:r w:rsidR="00390B93" w:rsidRPr="00BB1A58">
        <w:t>a haven</w:t>
      </w:r>
      <w:r w:rsidRPr="00BB1A58">
        <w:t xml:space="preserve"> for investors looking to hedge against volatility, with prices climbing marginally higher during the month. Agricultural commodities also saw moderate movement, influenced by seasonal factors and trade dynamics with China.</w:t>
      </w:r>
    </w:p>
    <w:p w14:paraId="22F9253E" w14:textId="3BBB5055" w:rsidR="00AB1F56" w:rsidRDefault="00BB1A58" w:rsidP="00BB1A58">
      <w:r w:rsidRPr="00BB1A58">
        <w:t>Currency markets remained unpredictable. The US dollar gained ground against several major currencies, supported by the Federal Reserve’s current monetary policy stance. However, emerging market currencies showed vulnerability as rising bond yields and geopolitical risks weighed heavily on investor sentiment.</w:t>
      </w:r>
    </w:p>
    <w:p w14:paraId="41DB7890" w14:textId="1353436A" w:rsidR="006729DD" w:rsidRPr="006729DD" w:rsidRDefault="006729DD" w:rsidP="00BB1A58">
      <w:pPr>
        <w:rPr>
          <w:b/>
          <w:bCs/>
        </w:rPr>
      </w:pPr>
      <w:r w:rsidRPr="006729DD">
        <w:rPr>
          <w:b/>
          <w:bCs/>
        </w:rPr>
        <w:t>Bond Markets</w:t>
      </w:r>
    </w:p>
    <w:p w14:paraId="28968381" w14:textId="04AAAB8B" w:rsidR="00C97425" w:rsidRDefault="006729DD" w:rsidP="00C97425">
      <w:r>
        <w:t>B</w:t>
      </w:r>
      <w:r w:rsidR="00C97425">
        <w:t xml:space="preserve">ond markets are still not convinced </w:t>
      </w:r>
      <w:r>
        <w:t xml:space="preserve">by the tariff reprieve believing that the outcome will eventually lead to further inflation. The long end of the interest rate curve is sensitive and has </w:t>
      </w:r>
      <w:r w:rsidR="00C97425">
        <w:t>retreat</w:t>
      </w:r>
      <w:r>
        <w:t>ed again</w:t>
      </w:r>
      <w:r w:rsidR="00C97425">
        <w:t xml:space="preserve"> (yields up) reflecting the nervous </w:t>
      </w:r>
      <w:r>
        <w:t xml:space="preserve">state of </w:t>
      </w:r>
      <w:r w:rsidR="00C97425" w:rsidRPr="006729DD">
        <w:t xml:space="preserve">US interest rate </w:t>
      </w:r>
      <w:r w:rsidRPr="006729DD">
        <w:t>expectations.</w:t>
      </w:r>
      <w:r>
        <w:rPr>
          <w:b/>
          <w:bCs/>
        </w:rPr>
        <w:t xml:space="preserve"> </w:t>
      </w:r>
    </w:p>
    <w:p w14:paraId="1478A77B" w14:textId="7FE75FE3" w:rsidR="006D1011" w:rsidRDefault="006D1011" w:rsidP="006D1011">
      <w:pP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 xml:space="preserve">Interest rate markets in the US have again had a torrid month over May 2025 with the 10year Government bonds falling to 4.167% late April and then rebounding to hit 4.60% mid-May 2025. US10year ended May at </w:t>
      </w:r>
      <w:r w:rsidRPr="00104353">
        <w:rPr>
          <w:rFonts w:ascii="Calibri" w:hAnsi="Calibri" w:cs="Calibri"/>
          <w:b/>
          <w:bCs/>
          <w:color w:val="222222"/>
          <w:sz w:val="24"/>
          <w:szCs w:val="24"/>
          <w:shd w:val="clear" w:color="auto" w:fill="FFFFFF"/>
        </w:rPr>
        <w:t>4.</w:t>
      </w:r>
      <w:r>
        <w:rPr>
          <w:rFonts w:ascii="Calibri" w:hAnsi="Calibri" w:cs="Calibri"/>
          <w:b/>
          <w:bCs/>
          <w:color w:val="222222"/>
          <w:sz w:val="24"/>
          <w:szCs w:val="24"/>
          <w:shd w:val="clear" w:color="auto" w:fill="FFFFFF"/>
        </w:rPr>
        <w:t>397</w:t>
      </w:r>
      <w:r w:rsidRPr="00104353">
        <w:rPr>
          <w:rFonts w:ascii="Calibri" w:hAnsi="Calibri" w:cs="Calibri"/>
          <w:b/>
          <w:bCs/>
          <w:color w:val="222222"/>
          <w:sz w:val="24"/>
          <w:szCs w:val="24"/>
          <w:shd w:val="clear" w:color="auto" w:fill="FFFFFF"/>
        </w:rPr>
        <w:t>%</w:t>
      </w:r>
      <w:r>
        <w:rPr>
          <w:rFonts w:ascii="Calibri" w:hAnsi="Calibri" w:cs="Calibri"/>
          <w:color w:val="222222"/>
          <w:sz w:val="24"/>
          <w:szCs w:val="24"/>
          <w:shd w:val="clear" w:color="auto" w:fill="FFFFFF"/>
        </w:rPr>
        <w:t>.</w:t>
      </w:r>
    </w:p>
    <w:p w14:paraId="73BDDE9D" w14:textId="77777777" w:rsidR="006D1011" w:rsidRDefault="006D1011" w:rsidP="006D1011">
      <w:pP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 xml:space="preserve">The </w:t>
      </w:r>
      <w:r w:rsidRPr="00FA0A4C">
        <w:rPr>
          <w:rFonts w:ascii="Calibri" w:hAnsi="Calibri" w:cs="Calibri"/>
          <w:b/>
          <w:bCs/>
          <w:color w:val="222222"/>
          <w:sz w:val="24"/>
          <w:szCs w:val="24"/>
          <w:shd w:val="clear" w:color="auto" w:fill="FFFFFF"/>
        </w:rPr>
        <w:t>decoupled relationship</w:t>
      </w:r>
      <w:r>
        <w:rPr>
          <w:rFonts w:ascii="Calibri" w:hAnsi="Calibri" w:cs="Calibri"/>
          <w:color w:val="222222"/>
          <w:sz w:val="24"/>
          <w:szCs w:val="24"/>
          <w:shd w:val="clear" w:color="auto" w:fill="FFFFFF"/>
        </w:rPr>
        <w:t xml:space="preserve"> with shares and bonds has continued. Usually when bonds sell-off (yields rise) then shares fall as valuations factor in the lower intrinsic value for the company based on the changed discount rate. Recently the </w:t>
      </w:r>
      <w:r w:rsidRPr="00A679E7">
        <w:rPr>
          <w:rFonts w:ascii="Calibri" w:hAnsi="Calibri" w:cs="Calibri"/>
          <w:b/>
          <w:bCs/>
          <w:color w:val="222222"/>
          <w:sz w:val="24"/>
          <w:szCs w:val="24"/>
          <w:shd w:val="clear" w:color="auto" w:fill="FFFFFF"/>
        </w:rPr>
        <w:t xml:space="preserve">bonds have jumped sharply lower in price (higher in yield) yet shares also rallied. </w:t>
      </w:r>
      <w:r>
        <w:rPr>
          <w:rFonts w:ascii="Calibri" w:hAnsi="Calibri" w:cs="Calibri"/>
          <w:color w:val="222222"/>
          <w:sz w:val="24"/>
          <w:szCs w:val="24"/>
          <w:shd w:val="clear" w:color="auto" w:fill="FFFFFF"/>
        </w:rPr>
        <w:t>This is caused by the overshoot in prices during the tariff driven market volatility. We expect both markets to drift slowly back to basics soon.</w:t>
      </w:r>
    </w:p>
    <w:p w14:paraId="4096F786" w14:textId="62C81753" w:rsidR="00AB1F56" w:rsidRPr="00AB1F56" w:rsidRDefault="00AB1F56" w:rsidP="00AB1F56">
      <w:pPr>
        <w:rPr>
          <w:color w:val="auto"/>
        </w:rPr>
      </w:pPr>
      <w:r w:rsidRPr="00AB1F56">
        <w:rPr>
          <w:color w:val="auto"/>
        </w:rPr>
        <w:t>Most investors are still of the opinion that interest rates and inflation are heading lower over the medium to long term, however these short-term adjustments driven by market data a</w:t>
      </w:r>
      <w:r w:rsidR="00170FC0">
        <w:rPr>
          <w:color w:val="auto"/>
        </w:rPr>
        <w:t>s</w:t>
      </w:r>
      <w:r w:rsidRPr="00AB1F56">
        <w:rPr>
          <w:color w:val="auto"/>
        </w:rPr>
        <w:t xml:space="preserve"> the US Federal Reserve (the Fed) </w:t>
      </w:r>
      <w:r w:rsidR="00D17CAB">
        <w:rPr>
          <w:color w:val="auto"/>
        </w:rPr>
        <w:t>ponders the next move after</w:t>
      </w:r>
      <w:r w:rsidRPr="00AB1F56">
        <w:rPr>
          <w:color w:val="auto"/>
        </w:rPr>
        <w:t xml:space="preserve"> inflation </w:t>
      </w:r>
      <w:r w:rsidR="00D17CAB">
        <w:rPr>
          <w:color w:val="auto"/>
        </w:rPr>
        <w:t>printed at 2.</w:t>
      </w:r>
      <w:r w:rsidR="006729DD">
        <w:rPr>
          <w:color w:val="auto"/>
        </w:rPr>
        <w:t>4</w:t>
      </w:r>
      <w:r w:rsidR="00D17CAB">
        <w:rPr>
          <w:color w:val="auto"/>
        </w:rPr>
        <w:t xml:space="preserve">% for </w:t>
      </w:r>
      <w:r w:rsidR="006729DD">
        <w:rPr>
          <w:color w:val="auto"/>
        </w:rPr>
        <w:t>May</w:t>
      </w:r>
      <w:r w:rsidR="00D17CAB">
        <w:rPr>
          <w:color w:val="auto"/>
        </w:rPr>
        <w:t xml:space="preserve"> 2025.</w:t>
      </w:r>
    </w:p>
    <w:p w14:paraId="76AE76DC" w14:textId="0E0C77FF" w:rsidR="009A3B4B" w:rsidRDefault="009A3B4B" w:rsidP="009A3B4B">
      <w:pP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 xml:space="preserve">The Fed left the </w:t>
      </w:r>
      <w:r w:rsidRPr="00613384">
        <w:rPr>
          <w:rFonts w:ascii="Calibri" w:hAnsi="Calibri" w:cs="Calibri"/>
          <w:color w:val="222222"/>
          <w:sz w:val="24"/>
          <w:szCs w:val="24"/>
          <w:shd w:val="clear" w:color="auto" w:fill="FFFFFF"/>
        </w:rPr>
        <w:t xml:space="preserve">target cash rate </w:t>
      </w:r>
      <w:r>
        <w:rPr>
          <w:rFonts w:ascii="Calibri" w:hAnsi="Calibri" w:cs="Calibri"/>
          <w:color w:val="222222"/>
          <w:sz w:val="24"/>
          <w:szCs w:val="24"/>
          <w:shd w:val="clear" w:color="auto" w:fill="FFFFFF"/>
        </w:rPr>
        <w:t>at</w:t>
      </w:r>
      <w:r w:rsidRPr="00EC694E">
        <w:rPr>
          <w:rFonts w:ascii="Calibri" w:hAnsi="Calibri" w:cs="Calibri"/>
          <w:b/>
          <w:bCs/>
          <w:color w:val="222222"/>
          <w:sz w:val="24"/>
          <w:szCs w:val="24"/>
          <w:shd w:val="clear" w:color="auto" w:fill="FFFFFF"/>
        </w:rPr>
        <w:t xml:space="preserve"> 4.</w:t>
      </w:r>
      <w:r>
        <w:rPr>
          <w:rFonts w:ascii="Calibri" w:hAnsi="Calibri" w:cs="Calibri"/>
          <w:b/>
          <w:bCs/>
          <w:color w:val="222222"/>
          <w:sz w:val="24"/>
          <w:szCs w:val="24"/>
          <w:shd w:val="clear" w:color="auto" w:fill="FFFFFF"/>
        </w:rPr>
        <w:t>25</w:t>
      </w:r>
      <w:r w:rsidRPr="00EC694E">
        <w:rPr>
          <w:rFonts w:ascii="Calibri" w:hAnsi="Calibri" w:cs="Calibri"/>
          <w:b/>
          <w:bCs/>
          <w:color w:val="222222"/>
          <w:sz w:val="24"/>
          <w:szCs w:val="24"/>
          <w:shd w:val="clear" w:color="auto" w:fill="FFFFFF"/>
        </w:rPr>
        <w:t>%-4.5</w:t>
      </w:r>
      <w:r>
        <w:rPr>
          <w:rFonts w:ascii="Calibri" w:hAnsi="Calibri" w:cs="Calibri"/>
          <w:b/>
          <w:bCs/>
          <w:color w:val="222222"/>
          <w:sz w:val="24"/>
          <w:szCs w:val="24"/>
          <w:shd w:val="clear" w:color="auto" w:fill="FFFFFF"/>
        </w:rPr>
        <w:t>0</w:t>
      </w:r>
      <w:r w:rsidRPr="00EC694E">
        <w:rPr>
          <w:rFonts w:ascii="Calibri" w:hAnsi="Calibri" w:cs="Calibri"/>
          <w:b/>
          <w:bCs/>
          <w:color w:val="222222"/>
          <w:sz w:val="24"/>
          <w:szCs w:val="24"/>
          <w:shd w:val="clear" w:color="auto" w:fill="FFFFFF"/>
        </w:rPr>
        <w:t>%</w:t>
      </w:r>
      <w:r w:rsidRPr="00613384">
        <w:rPr>
          <w:rFonts w:ascii="Calibri" w:hAnsi="Calibri" w:cs="Calibri"/>
          <w:color w:val="222222"/>
          <w:sz w:val="24"/>
          <w:szCs w:val="24"/>
          <w:shd w:val="clear" w:color="auto" w:fill="FFFFFF"/>
        </w:rPr>
        <w:t xml:space="preserve"> at its meeting held on the </w:t>
      </w:r>
      <w:r w:rsidR="00D17CAB">
        <w:rPr>
          <w:rFonts w:ascii="Calibri" w:hAnsi="Calibri" w:cs="Calibri"/>
          <w:color w:val="222222"/>
          <w:sz w:val="24"/>
          <w:szCs w:val="24"/>
          <w:shd w:val="clear" w:color="auto" w:fill="FFFFFF"/>
        </w:rPr>
        <w:t>6</w:t>
      </w:r>
      <w:r w:rsidR="00D17CAB" w:rsidRPr="00D17CAB">
        <w:rPr>
          <w:rFonts w:ascii="Calibri" w:hAnsi="Calibri" w:cs="Calibri"/>
          <w:color w:val="222222"/>
          <w:sz w:val="24"/>
          <w:szCs w:val="24"/>
          <w:shd w:val="clear" w:color="auto" w:fill="FFFFFF"/>
          <w:vertAlign w:val="superscript"/>
        </w:rPr>
        <w:t>th</w:t>
      </w:r>
      <w:r w:rsidR="00D17CAB">
        <w:rPr>
          <w:rFonts w:ascii="Calibri" w:hAnsi="Calibri" w:cs="Calibri"/>
          <w:color w:val="222222"/>
          <w:sz w:val="24"/>
          <w:szCs w:val="24"/>
          <w:shd w:val="clear" w:color="auto" w:fill="FFFFFF"/>
        </w:rPr>
        <w:t>/7</w:t>
      </w:r>
      <w:r w:rsidR="00D17CAB" w:rsidRPr="00D17CAB">
        <w:rPr>
          <w:rFonts w:ascii="Calibri" w:hAnsi="Calibri" w:cs="Calibri"/>
          <w:color w:val="222222"/>
          <w:sz w:val="24"/>
          <w:szCs w:val="24"/>
          <w:shd w:val="clear" w:color="auto" w:fill="FFFFFF"/>
          <w:vertAlign w:val="superscript"/>
        </w:rPr>
        <w:t>th</w:t>
      </w:r>
      <w:r w:rsidR="00D17CAB">
        <w:rPr>
          <w:rFonts w:ascii="Calibri" w:hAnsi="Calibri" w:cs="Calibri"/>
          <w:color w:val="222222"/>
          <w:sz w:val="24"/>
          <w:szCs w:val="24"/>
          <w:shd w:val="clear" w:color="auto" w:fill="FFFFFF"/>
        </w:rPr>
        <w:t xml:space="preserve"> May</w:t>
      </w:r>
      <w:r>
        <w:rPr>
          <w:rFonts w:ascii="Calibri" w:hAnsi="Calibri" w:cs="Calibri"/>
          <w:color w:val="222222"/>
          <w:sz w:val="24"/>
          <w:szCs w:val="24"/>
          <w:shd w:val="clear" w:color="auto" w:fill="FFFFFF"/>
        </w:rPr>
        <w:t xml:space="preserve"> 2025. The next meeting held on the </w:t>
      </w:r>
      <w:r w:rsidR="00D17CAB" w:rsidRPr="003D2CC1">
        <w:rPr>
          <w:rFonts w:ascii="Calibri" w:hAnsi="Calibri" w:cs="Calibri"/>
          <w:b/>
          <w:bCs/>
          <w:color w:val="222222"/>
          <w:sz w:val="24"/>
          <w:szCs w:val="24"/>
          <w:shd w:val="clear" w:color="auto" w:fill="FFFFFF"/>
        </w:rPr>
        <w:t>17</w:t>
      </w:r>
      <w:r w:rsidRPr="003D2CC1">
        <w:rPr>
          <w:rFonts w:ascii="Calibri" w:hAnsi="Calibri" w:cs="Calibri"/>
          <w:b/>
          <w:bCs/>
          <w:color w:val="222222"/>
          <w:sz w:val="24"/>
          <w:szCs w:val="24"/>
          <w:shd w:val="clear" w:color="auto" w:fill="FFFFFF"/>
          <w:vertAlign w:val="superscript"/>
        </w:rPr>
        <w:t>th</w:t>
      </w:r>
      <w:r w:rsidRPr="001872E4">
        <w:rPr>
          <w:rFonts w:ascii="Calibri" w:hAnsi="Calibri" w:cs="Calibri"/>
          <w:b/>
          <w:bCs/>
          <w:color w:val="222222"/>
          <w:sz w:val="24"/>
          <w:szCs w:val="24"/>
          <w:shd w:val="clear" w:color="auto" w:fill="FFFFFF"/>
        </w:rPr>
        <w:t>/</w:t>
      </w:r>
      <w:r w:rsidR="00D17CAB">
        <w:rPr>
          <w:rFonts w:ascii="Calibri" w:hAnsi="Calibri" w:cs="Calibri"/>
          <w:b/>
          <w:bCs/>
          <w:color w:val="222222"/>
          <w:sz w:val="24"/>
          <w:szCs w:val="24"/>
          <w:shd w:val="clear" w:color="auto" w:fill="FFFFFF"/>
        </w:rPr>
        <w:t>18</w:t>
      </w:r>
      <w:r w:rsidRPr="001872E4">
        <w:rPr>
          <w:rFonts w:ascii="Calibri" w:hAnsi="Calibri" w:cs="Calibri"/>
          <w:b/>
          <w:bCs/>
          <w:color w:val="222222"/>
          <w:sz w:val="24"/>
          <w:szCs w:val="24"/>
          <w:shd w:val="clear" w:color="auto" w:fill="FFFFFF"/>
          <w:vertAlign w:val="superscript"/>
        </w:rPr>
        <w:t>th</w:t>
      </w:r>
      <w:r>
        <w:rPr>
          <w:rFonts w:ascii="Calibri" w:hAnsi="Calibri" w:cs="Calibri"/>
          <w:color w:val="222222"/>
          <w:sz w:val="24"/>
          <w:szCs w:val="24"/>
          <w:shd w:val="clear" w:color="auto" w:fill="FFFFFF"/>
        </w:rPr>
        <w:t xml:space="preserve"> </w:t>
      </w:r>
      <w:r w:rsidR="00D17CAB" w:rsidRPr="00D17CAB">
        <w:rPr>
          <w:rFonts w:ascii="Calibri" w:hAnsi="Calibri" w:cs="Calibri"/>
          <w:b/>
          <w:bCs/>
          <w:color w:val="222222"/>
          <w:sz w:val="24"/>
          <w:szCs w:val="24"/>
          <w:shd w:val="clear" w:color="auto" w:fill="FFFFFF"/>
        </w:rPr>
        <w:t>June</w:t>
      </w:r>
      <w:r w:rsidRPr="005A485F">
        <w:rPr>
          <w:rFonts w:ascii="Calibri" w:hAnsi="Calibri" w:cs="Calibri"/>
          <w:b/>
          <w:bCs/>
          <w:color w:val="222222"/>
          <w:sz w:val="24"/>
          <w:szCs w:val="24"/>
          <w:shd w:val="clear" w:color="auto" w:fill="FFFFFF"/>
        </w:rPr>
        <w:t xml:space="preserve"> 2025</w:t>
      </w:r>
      <w:r>
        <w:rPr>
          <w:rFonts w:ascii="Calibri" w:hAnsi="Calibri" w:cs="Calibri"/>
          <w:color w:val="222222"/>
          <w:sz w:val="24"/>
          <w:szCs w:val="24"/>
          <w:shd w:val="clear" w:color="auto" w:fill="FFFFFF"/>
        </w:rPr>
        <w:t xml:space="preserve">. </w:t>
      </w:r>
      <w:r w:rsidR="006729DD">
        <w:rPr>
          <w:rFonts w:ascii="Calibri" w:hAnsi="Calibri" w:cs="Calibri"/>
          <w:color w:val="222222"/>
          <w:sz w:val="24"/>
          <w:szCs w:val="24"/>
          <w:shd w:val="clear" w:color="auto" w:fill="FFFFFF"/>
        </w:rPr>
        <w:t>T</w:t>
      </w:r>
      <w:r w:rsidR="003D2CC1">
        <w:rPr>
          <w:rFonts w:ascii="Calibri" w:hAnsi="Calibri" w:cs="Calibri"/>
          <w:color w:val="222222"/>
          <w:sz w:val="24"/>
          <w:szCs w:val="24"/>
          <w:shd w:val="clear" w:color="auto" w:fill="FFFFFF"/>
        </w:rPr>
        <w:t xml:space="preserve">he </w:t>
      </w:r>
      <w:r w:rsidR="003D2CC1" w:rsidRPr="006D1011">
        <w:rPr>
          <w:rFonts w:ascii="Calibri" w:hAnsi="Calibri" w:cs="Calibri"/>
          <w:b/>
          <w:bCs/>
          <w:color w:val="222222"/>
          <w:sz w:val="24"/>
          <w:szCs w:val="24"/>
          <w:shd w:val="clear" w:color="auto" w:fill="FFFFFF"/>
        </w:rPr>
        <w:t xml:space="preserve">US Fed </w:t>
      </w:r>
      <w:r w:rsidR="006729DD" w:rsidRPr="006D1011">
        <w:rPr>
          <w:rFonts w:ascii="Calibri" w:hAnsi="Calibri" w:cs="Calibri"/>
          <w:b/>
          <w:bCs/>
          <w:color w:val="222222"/>
          <w:sz w:val="24"/>
          <w:szCs w:val="24"/>
          <w:shd w:val="clear" w:color="auto" w:fill="FFFFFF"/>
        </w:rPr>
        <w:t>is expected to leave the</w:t>
      </w:r>
      <w:r w:rsidR="006729DD">
        <w:rPr>
          <w:rFonts w:ascii="Calibri" w:hAnsi="Calibri" w:cs="Calibri"/>
          <w:color w:val="222222"/>
          <w:sz w:val="24"/>
          <w:szCs w:val="24"/>
          <w:shd w:val="clear" w:color="auto" w:fill="FFFFFF"/>
        </w:rPr>
        <w:t xml:space="preserve"> </w:t>
      </w:r>
      <w:r w:rsidR="006729DD" w:rsidRPr="006729DD">
        <w:rPr>
          <w:rFonts w:ascii="Calibri" w:hAnsi="Calibri" w:cs="Calibri"/>
          <w:b/>
          <w:bCs/>
          <w:color w:val="222222"/>
          <w:sz w:val="24"/>
          <w:szCs w:val="24"/>
          <w:shd w:val="clear" w:color="auto" w:fill="FFFFFF"/>
        </w:rPr>
        <w:t>target cash range unchanged</w:t>
      </w:r>
      <w:r w:rsidR="006729DD">
        <w:rPr>
          <w:rFonts w:ascii="Calibri" w:hAnsi="Calibri" w:cs="Calibri"/>
          <w:color w:val="222222"/>
          <w:sz w:val="24"/>
          <w:szCs w:val="24"/>
          <w:shd w:val="clear" w:color="auto" w:fill="FFFFFF"/>
        </w:rPr>
        <w:t xml:space="preserve">. </w:t>
      </w:r>
      <w:r>
        <w:rPr>
          <w:rFonts w:ascii="Calibri" w:hAnsi="Calibri" w:cs="Calibri"/>
          <w:color w:val="222222"/>
          <w:sz w:val="24"/>
          <w:szCs w:val="24"/>
          <w:shd w:val="clear" w:color="auto" w:fill="FFFFFF"/>
        </w:rPr>
        <w:t xml:space="preserve">Regarding treasury securities and agency debt holdings: </w:t>
      </w:r>
    </w:p>
    <w:p w14:paraId="1E12D3E1" w14:textId="4E15C7A4" w:rsidR="009A3B4B" w:rsidRPr="005767D6" w:rsidRDefault="009A3B4B" w:rsidP="009A3B4B">
      <w:pPr>
        <w:ind w:left="720"/>
        <w:rPr>
          <w:rFonts w:ascii="Calibri" w:hAnsi="Calibri" w:cs="Calibri"/>
          <w:i/>
          <w:iCs/>
          <w:color w:val="222222"/>
          <w:sz w:val="24"/>
          <w:szCs w:val="24"/>
          <w:shd w:val="clear" w:color="auto" w:fill="FFFFFF"/>
        </w:rPr>
      </w:pPr>
      <w:r w:rsidRPr="005767D6">
        <w:rPr>
          <w:rFonts w:ascii="Calibri" w:hAnsi="Calibri" w:cs="Calibri"/>
          <w:i/>
          <w:iCs/>
          <w:color w:val="222222"/>
          <w:sz w:val="24"/>
          <w:szCs w:val="24"/>
          <w:shd w:val="clear" w:color="auto" w:fill="FFFFFF"/>
        </w:rPr>
        <w:t>“</w:t>
      </w:r>
      <w:r w:rsidR="00E456BE" w:rsidRPr="00E456BE">
        <w:rPr>
          <w:rFonts w:ascii="Calibri" w:hAnsi="Calibri" w:cs="Calibri"/>
          <w:i/>
          <w:iCs/>
          <w:color w:val="222222"/>
          <w:sz w:val="24"/>
          <w:szCs w:val="24"/>
          <w:shd w:val="clear" w:color="auto" w:fill="FFFFFF"/>
        </w:rPr>
        <w:t xml:space="preserve">In assessing the appropriate stance of monetary policy, the Committee will continue to monitor the implications of incoming information for the economic outlook. The Committee would be prepared to adjust the stance of monetary policy as appropriate if risks emerge that could impede the attainment of the Committee’s goals. The Committee’s assessments will take (more) -2- into account a wide range of </w:t>
      </w:r>
      <w:r w:rsidR="00E456BE" w:rsidRPr="00E456BE">
        <w:rPr>
          <w:rFonts w:ascii="Calibri" w:hAnsi="Calibri" w:cs="Calibri"/>
          <w:i/>
          <w:iCs/>
          <w:color w:val="222222"/>
          <w:sz w:val="24"/>
          <w:szCs w:val="24"/>
          <w:shd w:val="clear" w:color="auto" w:fill="FFFFFF"/>
        </w:rPr>
        <w:lastRenderedPageBreak/>
        <w:t>information, including readings on labor market conditions, inflation pressures and inflation expectations, and financial and international developments.</w:t>
      </w:r>
      <w:r>
        <w:rPr>
          <w:rFonts w:ascii="Calibri" w:hAnsi="Calibri" w:cs="Calibri"/>
          <w:i/>
          <w:iCs/>
          <w:color w:val="222222"/>
          <w:sz w:val="24"/>
          <w:szCs w:val="24"/>
          <w:shd w:val="clear" w:color="auto" w:fill="FFFFFF"/>
        </w:rPr>
        <w:t>”</w:t>
      </w:r>
      <w:r w:rsidRPr="001872E4">
        <w:rPr>
          <w:rFonts w:ascii="Calibri" w:hAnsi="Calibri" w:cs="Calibri"/>
          <w:i/>
          <w:iCs/>
          <w:color w:val="222222"/>
          <w:sz w:val="24"/>
          <w:szCs w:val="24"/>
          <w:shd w:val="clear" w:color="auto" w:fill="FFFFFF"/>
        </w:rPr>
        <w:t xml:space="preserve">. </w:t>
      </w:r>
      <w:r w:rsidRPr="005767D6">
        <w:rPr>
          <w:rFonts w:ascii="Calibri" w:hAnsi="Calibri" w:cs="Calibri"/>
          <w:i/>
          <w:iCs/>
          <w:color w:val="222222"/>
          <w:sz w:val="24"/>
          <w:szCs w:val="24"/>
          <w:u w:val="single"/>
          <w:shd w:val="clear" w:color="auto" w:fill="FFFFFF"/>
        </w:rPr>
        <w:t>Source:</w:t>
      </w:r>
      <w:r>
        <w:rPr>
          <w:rFonts w:ascii="Calibri" w:hAnsi="Calibri" w:cs="Calibri"/>
          <w:i/>
          <w:iCs/>
          <w:color w:val="222222"/>
          <w:sz w:val="24"/>
          <w:szCs w:val="24"/>
          <w:shd w:val="clear" w:color="auto" w:fill="FFFFFF"/>
        </w:rPr>
        <w:t xml:space="preserve"> The </w:t>
      </w:r>
      <w:r w:rsidRPr="005767D6">
        <w:rPr>
          <w:rFonts w:ascii="Calibri" w:hAnsi="Calibri" w:cs="Calibri"/>
          <w:i/>
          <w:iCs/>
          <w:color w:val="222222"/>
          <w:sz w:val="24"/>
          <w:szCs w:val="24"/>
          <w:shd w:val="clear" w:color="auto" w:fill="FFFFFF"/>
        </w:rPr>
        <w:t>Board of Governors of the Federal Reserve System</w:t>
      </w:r>
      <w:r>
        <w:rPr>
          <w:rFonts w:ascii="Calibri" w:hAnsi="Calibri" w:cs="Calibri"/>
          <w:i/>
          <w:iCs/>
          <w:color w:val="222222"/>
          <w:sz w:val="24"/>
          <w:szCs w:val="24"/>
          <w:shd w:val="clear" w:color="auto" w:fill="FFFFFF"/>
        </w:rPr>
        <w:t xml:space="preserve">, Chair, Jerome Powell, </w:t>
      </w:r>
      <w:r w:rsidR="00E456BE">
        <w:rPr>
          <w:rFonts w:ascii="Calibri" w:hAnsi="Calibri" w:cs="Calibri"/>
          <w:i/>
          <w:iCs/>
          <w:color w:val="222222"/>
          <w:sz w:val="24"/>
          <w:szCs w:val="24"/>
          <w:shd w:val="clear" w:color="auto" w:fill="FFFFFF"/>
        </w:rPr>
        <w:t>7</w:t>
      </w:r>
      <w:r w:rsidRPr="005767D6">
        <w:rPr>
          <w:rFonts w:ascii="Calibri" w:hAnsi="Calibri" w:cs="Calibri"/>
          <w:i/>
          <w:iCs/>
          <w:color w:val="222222"/>
          <w:sz w:val="24"/>
          <w:szCs w:val="24"/>
          <w:shd w:val="clear" w:color="auto" w:fill="FFFFFF"/>
          <w:vertAlign w:val="superscript"/>
        </w:rPr>
        <w:t>th</w:t>
      </w:r>
      <w:r>
        <w:rPr>
          <w:rFonts w:ascii="Calibri" w:hAnsi="Calibri" w:cs="Calibri"/>
          <w:i/>
          <w:iCs/>
          <w:color w:val="222222"/>
          <w:sz w:val="24"/>
          <w:szCs w:val="24"/>
          <w:shd w:val="clear" w:color="auto" w:fill="FFFFFF"/>
        </w:rPr>
        <w:t xml:space="preserve"> Ma</w:t>
      </w:r>
      <w:r w:rsidR="00E456BE">
        <w:rPr>
          <w:rFonts w:ascii="Calibri" w:hAnsi="Calibri" w:cs="Calibri"/>
          <w:i/>
          <w:iCs/>
          <w:color w:val="222222"/>
          <w:sz w:val="24"/>
          <w:szCs w:val="24"/>
          <w:shd w:val="clear" w:color="auto" w:fill="FFFFFF"/>
        </w:rPr>
        <w:t>y</w:t>
      </w:r>
      <w:r>
        <w:rPr>
          <w:rFonts w:ascii="Calibri" w:hAnsi="Calibri" w:cs="Calibri"/>
          <w:i/>
          <w:iCs/>
          <w:color w:val="222222"/>
          <w:sz w:val="24"/>
          <w:szCs w:val="24"/>
          <w:shd w:val="clear" w:color="auto" w:fill="FFFFFF"/>
        </w:rPr>
        <w:t xml:space="preserve"> 2025.</w:t>
      </w:r>
    </w:p>
    <w:p w14:paraId="53571F40" w14:textId="584D4697" w:rsidR="009A3B4B" w:rsidRDefault="009A3B4B" w:rsidP="009A3B4B">
      <w:pPr>
        <w:rPr>
          <w:rFonts w:ascii="Calibri" w:hAnsi="Calibri" w:cs="Calibri"/>
          <w:color w:val="222222"/>
          <w:sz w:val="24"/>
          <w:szCs w:val="24"/>
          <w:shd w:val="clear" w:color="auto" w:fill="FFFFFF"/>
        </w:rPr>
      </w:pPr>
      <w:r>
        <w:rPr>
          <w:rFonts w:ascii="Calibri" w:hAnsi="Calibri" w:cs="Calibri"/>
          <w:color w:val="222222"/>
          <w:sz w:val="24"/>
          <w:szCs w:val="24"/>
          <w:shd w:val="clear" w:color="auto" w:fill="FFFFFF"/>
        </w:rPr>
        <w:t xml:space="preserve">Inflation prints have revealed the </w:t>
      </w:r>
      <w:r w:rsidRPr="00555922">
        <w:rPr>
          <w:rFonts w:ascii="Calibri" w:hAnsi="Calibri" w:cs="Calibri"/>
          <w:b/>
          <w:bCs/>
          <w:color w:val="222222"/>
          <w:sz w:val="24"/>
          <w:szCs w:val="24"/>
          <w:shd w:val="clear" w:color="auto" w:fill="FFFFFF"/>
        </w:rPr>
        <w:t xml:space="preserve">US Inflation YOY </w:t>
      </w:r>
      <w:r w:rsidR="006729DD">
        <w:rPr>
          <w:rFonts w:ascii="Calibri" w:hAnsi="Calibri" w:cs="Calibri"/>
          <w:b/>
          <w:bCs/>
          <w:color w:val="222222"/>
          <w:sz w:val="24"/>
          <w:szCs w:val="24"/>
          <w:shd w:val="clear" w:color="auto" w:fill="FFFFFF"/>
        </w:rPr>
        <w:t>rose</w:t>
      </w:r>
      <w:r>
        <w:rPr>
          <w:rFonts w:ascii="Calibri" w:hAnsi="Calibri" w:cs="Calibri"/>
          <w:b/>
          <w:bCs/>
          <w:color w:val="222222"/>
          <w:sz w:val="24"/>
          <w:szCs w:val="24"/>
          <w:shd w:val="clear" w:color="auto" w:fill="FFFFFF"/>
        </w:rPr>
        <w:t xml:space="preserve"> to 2.</w:t>
      </w:r>
      <w:r w:rsidR="006729DD">
        <w:rPr>
          <w:rFonts w:ascii="Calibri" w:hAnsi="Calibri" w:cs="Calibri"/>
          <w:b/>
          <w:bCs/>
          <w:color w:val="222222"/>
          <w:sz w:val="24"/>
          <w:szCs w:val="24"/>
          <w:shd w:val="clear" w:color="auto" w:fill="FFFFFF"/>
        </w:rPr>
        <w:t>4</w:t>
      </w:r>
      <w:r>
        <w:rPr>
          <w:rFonts w:ascii="Calibri" w:hAnsi="Calibri" w:cs="Calibri"/>
          <w:b/>
          <w:bCs/>
          <w:color w:val="222222"/>
          <w:sz w:val="24"/>
          <w:szCs w:val="24"/>
          <w:shd w:val="clear" w:color="auto" w:fill="FFFFFF"/>
        </w:rPr>
        <w:t>%</w:t>
      </w:r>
      <w:r>
        <w:rPr>
          <w:rFonts w:ascii="Calibri" w:hAnsi="Calibri" w:cs="Calibri"/>
          <w:color w:val="222222"/>
          <w:sz w:val="24"/>
          <w:szCs w:val="24"/>
          <w:shd w:val="clear" w:color="auto" w:fill="FFFFFF"/>
        </w:rPr>
        <w:t xml:space="preserve"> in </w:t>
      </w:r>
      <w:r w:rsidR="006729DD">
        <w:rPr>
          <w:rFonts w:ascii="Calibri" w:hAnsi="Calibri" w:cs="Calibri"/>
          <w:color w:val="222222"/>
          <w:sz w:val="24"/>
          <w:szCs w:val="24"/>
          <w:shd w:val="clear" w:color="auto" w:fill="FFFFFF"/>
        </w:rPr>
        <w:t>May</w:t>
      </w:r>
      <w:r>
        <w:rPr>
          <w:rFonts w:ascii="Calibri" w:hAnsi="Calibri" w:cs="Calibri"/>
          <w:color w:val="222222"/>
          <w:sz w:val="24"/>
          <w:szCs w:val="24"/>
          <w:shd w:val="clear" w:color="auto" w:fill="FFFFFF"/>
        </w:rPr>
        <w:t xml:space="preserve"> 2025 from 2.</w:t>
      </w:r>
      <w:r w:rsidR="006729DD">
        <w:rPr>
          <w:rFonts w:ascii="Calibri" w:hAnsi="Calibri" w:cs="Calibri"/>
          <w:color w:val="222222"/>
          <w:sz w:val="24"/>
          <w:szCs w:val="24"/>
          <w:shd w:val="clear" w:color="auto" w:fill="FFFFFF"/>
        </w:rPr>
        <w:t>3</w:t>
      </w:r>
      <w:r>
        <w:rPr>
          <w:rFonts w:ascii="Calibri" w:hAnsi="Calibri" w:cs="Calibri"/>
          <w:color w:val="222222"/>
          <w:sz w:val="24"/>
          <w:szCs w:val="24"/>
          <w:shd w:val="clear" w:color="auto" w:fill="FFFFFF"/>
        </w:rPr>
        <w:t xml:space="preserve">% in </w:t>
      </w:r>
      <w:r w:rsidR="006729DD">
        <w:rPr>
          <w:rFonts w:ascii="Calibri" w:hAnsi="Calibri" w:cs="Calibri"/>
          <w:color w:val="222222"/>
          <w:sz w:val="24"/>
          <w:szCs w:val="24"/>
          <w:shd w:val="clear" w:color="auto" w:fill="FFFFFF"/>
        </w:rPr>
        <w:t>April</w:t>
      </w:r>
      <w:r>
        <w:rPr>
          <w:rFonts w:ascii="Calibri" w:hAnsi="Calibri" w:cs="Calibri"/>
          <w:color w:val="222222"/>
          <w:sz w:val="24"/>
          <w:szCs w:val="24"/>
          <w:shd w:val="clear" w:color="auto" w:fill="FFFFFF"/>
        </w:rPr>
        <w:t xml:space="preserve"> 2025. US Retail Sales MOM increased by (</w:t>
      </w:r>
      <w:r w:rsidR="006729DD">
        <w:rPr>
          <w:rFonts w:ascii="Calibri" w:hAnsi="Calibri" w:cs="Calibri"/>
          <w:color w:val="222222"/>
          <w:sz w:val="24"/>
          <w:szCs w:val="24"/>
          <w:shd w:val="clear" w:color="auto" w:fill="FFFFFF"/>
        </w:rPr>
        <w:t>+0.1</w:t>
      </w:r>
      <w:r w:rsidRPr="00804A42">
        <w:rPr>
          <w:rFonts w:ascii="Calibri" w:hAnsi="Calibri" w:cs="Calibri"/>
          <w:b/>
          <w:bCs/>
          <w:color w:val="222222"/>
          <w:sz w:val="24"/>
          <w:szCs w:val="24"/>
          <w:shd w:val="clear" w:color="auto" w:fill="FFFFFF"/>
        </w:rPr>
        <w:t>%</w:t>
      </w:r>
      <w:r>
        <w:rPr>
          <w:rFonts w:ascii="Calibri" w:hAnsi="Calibri" w:cs="Calibri"/>
          <w:b/>
          <w:bCs/>
          <w:color w:val="222222"/>
          <w:sz w:val="24"/>
          <w:szCs w:val="24"/>
          <w:shd w:val="clear" w:color="auto" w:fill="FFFFFF"/>
        </w:rPr>
        <w:t>)</w:t>
      </w:r>
      <w:r>
        <w:rPr>
          <w:rFonts w:ascii="Calibri" w:hAnsi="Calibri" w:cs="Calibri"/>
          <w:color w:val="222222"/>
          <w:sz w:val="24"/>
          <w:szCs w:val="24"/>
          <w:shd w:val="clear" w:color="auto" w:fill="FFFFFF"/>
        </w:rPr>
        <w:t xml:space="preserve"> in </w:t>
      </w:r>
      <w:r w:rsidR="00D57D5E">
        <w:rPr>
          <w:rFonts w:ascii="Calibri" w:hAnsi="Calibri" w:cs="Calibri"/>
          <w:color w:val="222222"/>
          <w:sz w:val="24"/>
          <w:szCs w:val="24"/>
          <w:shd w:val="clear" w:color="auto" w:fill="FFFFFF"/>
        </w:rPr>
        <w:t>April</w:t>
      </w:r>
      <w:r>
        <w:rPr>
          <w:rFonts w:ascii="Calibri" w:hAnsi="Calibri" w:cs="Calibri"/>
          <w:color w:val="222222"/>
          <w:sz w:val="24"/>
          <w:szCs w:val="24"/>
          <w:shd w:val="clear" w:color="auto" w:fill="FFFFFF"/>
        </w:rPr>
        <w:t xml:space="preserve"> 2025 up from </w:t>
      </w:r>
      <w:r w:rsidR="006729DD">
        <w:rPr>
          <w:rFonts w:ascii="Calibri" w:hAnsi="Calibri" w:cs="Calibri"/>
          <w:color w:val="222222"/>
          <w:sz w:val="24"/>
          <w:szCs w:val="24"/>
          <w:shd w:val="clear" w:color="auto" w:fill="FFFFFF"/>
        </w:rPr>
        <w:t xml:space="preserve">upwardly revised </w:t>
      </w:r>
      <w:r>
        <w:rPr>
          <w:rFonts w:ascii="Calibri" w:hAnsi="Calibri" w:cs="Calibri"/>
          <w:color w:val="222222"/>
          <w:sz w:val="24"/>
          <w:szCs w:val="24"/>
          <w:shd w:val="clear" w:color="auto" w:fill="FFFFFF"/>
        </w:rPr>
        <w:t>(</w:t>
      </w:r>
      <w:r w:rsidR="00D57D5E">
        <w:rPr>
          <w:rFonts w:ascii="Calibri" w:hAnsi="Calibri" w:cs="Calibri"/>
          <w:color w:val="222222"/>
          <w:sz w:val="24"/>
          <w:szCs w:val="24"/>
          <w:shd w:val="clear" w:color="auto" w:fill="FFFFFF"/>
        </w:rPr>
        <w:t>+</w:t>
      </w:r>
      <w:r w:rsidR="006729DD">
        <w:rPr>
          <w:rFonts w:ascii="Calibri" w:hAnsi="Calibri" w:cs="Calibri"/>
          <w:color w:val="222222"/>
          <w:sz w:val="24"/>
          <w:szCs w:val="24"/>
          <w:shd w:val="clear" w:color="auto" w:fill="FFFFFF"/>
        </w:rPr>
        <w:t>1.7</w:t>
      </w:r>
      <w:r>
        <w:rPr>
          <w:rFonts w:ascii="Calibri" w:hAnsi="Calibri" w:cs="Calibri"/>
          <w:color w:val="222222"/>
          <w:sz w:val="24"/>
          <w:szCs w:val="24"/>
          <w:shd w:val="clear" w:color="auto" w:fill="FFFFFF"/>
        </w:rPr>
        <w:t xml:space="preserve">%) in </w:t>
      </w:r>
      <w:r w:rsidR="006729DD">
        <w:rPr>
          <w:rFonts w:ascii="Calibri" w:hAnsi="Calibri" w:cs="Calibri"/>
          <w:color w:val="222222"/>
          <w:sz w:val="24"/>
          <w:szCs w:val="24"/>
          <w:shd w:val="clear" w:color="auto" w:fill="FFFFFF"/>
        </w:rPr>
        <w:t>March</w:t>
      </w:r>
      <w:r>
        <w:rPr>
          <w:rFonts w:ascii="Calibri" w:hAnsi="Calibri" w:cs="Calibri"/>
          <w:color w:val="222222"/>
          <w:sz w:val="24"/>
          <w:szCs w:val="24"/>
          <w:shd w:val="clear" w:color="auto" w:fill="FFFFFF"/>
        </w:rPr>
        <w:t xml:space="preserve"> 2025.</w:t>
      </w:r>
    </w:p>
    <w:p w14:paraId="56390823" w14:textId="5DDD693F" w:rsidR="00F67D7A" w:rsidRPr="00F67D7A" w:rsidRDefault="00F67D7A" w:rsidP="00A352A1">
      <w:pPr>
        <w:rPr>
          <w:b/>
          <w:bCs/>
        </w:rPr>
      </w:pPr>
      <w:r w:rsidRPr="00F67D7A">
        <w:rPr>
          <w:b/>
          <w:bCs/>
        </w:rPr>
        <w:t>Domestic Markets</w:t>
      </w:r>
    </w:p>
    <w:p w14:paraId="468B95DB" w14:textId="3CF0932E" w:rsidR="000A08BF" w:rsidRDefault="00EF1357" w:rsidP="00A352A1">
      <w:r>
        <w:t>For Australia, t</w:t>
      </w:r>
      <w:r w:rsidR="00A352A1">
        <w:t xml:space="preserve">he latest inflation prints for (year-on-year) </w:t>
      </w:r>
      <w:r w:rsidR="002D4FBF">
        <w:t>first</w:t>
      </w:r>
      <w:r w:rsidR="00A352A1">
        <w:t xml:space="preserve"> quarter of 202</w:t>
      </w:r>
      <w:r w:rsidR="002D4FBF">
        <w:t>5</w:t>
      </w:r>
      <w:r w:rsidR="00A352A1">
        <w:t xml:space="preserve"> </w:t>
      </w:r>
      <w:r w:rsidR="00A352A1" w:rsidRPr="00024249">
        <w:rPr>
          <w:b/>
          <w:bCs/>
        </w:rPr>
        <w:t xml:space="preserve">was </w:t>
      </w:r>
      <w:r>
        <w:rPr>
          <w:b/>
          <w:bCs/>
        </w:rPr>
        <w:t>2</w:t>
      </w:r>
      <w:r w:rsidR="00A352A1" w:rsidRPr="00024249">
        <w:rPr>
          <w:b/>
          <w:bCs/>
        </w:rPr>
        <w:t>.</w:t>
      </w:r>
      <w:r w:rsidR="00AB1F56">
        <w:rPr>
          <w:b/>
          <w:bCs/>
        </w:rPr>
        <w:t>4</w:t>
      </w:r>
      <w:r w:rsidR="00A352A1" w:rsidRPr="00024249">
        <w:rPr>
          <w:b/>
          <w:bCs/>
        </w:rPr>
        <w:t>%</w:t>
      </w:r>
      <w:r w:rsidR="00A352A1">
        <w:t xml:space="preserve"> which was </w:t>
      </w:r>
      <w:r w:rsidR="002D4FBF">
        <w:t xml:space="preserve">unchanged from </w:t>
      </w:r>
      <w:r w:rsidR="00A352A1">
        <w:t xml:space="preserve">the </w:t>
      </w:r>
      <w:r w:rsidR="002D4FBF">
        <w:t>fourth</w:t>
      </w:r>
      <w:r w:rsidR="00A352A1">
        <w:t xml:space="preserve"> quarter of 2024</w:t>
      </w:r>
      <w:r w:rsidR="00B6680A">
        <w:t>.</w:t>
      </w:r>
      <w:r w:rsidR="00A352A1">
        <w:t xml:space="preserve"> </w:t>
      </w:r>
      <w:r w:rsidR="00B6680A">
        <w:t xml:space="preserve">The market awaits the next RBA board meeting, which is due </w:t>
      </w:r>
      <w:r w:rsidR="00897EFF">
        <w:t>on the</w:t>
      </w:r>
      <w:r w:rsidR="00B6680A">
        <w:t xml:space="preserve"> </w:t>
      </w:r>
      <w:r w:rsidR="006D1011" w:rsidRPr="006D1011">
        <w:rPr>
          <w:b/>
          <w:bCs/>
        </w:rPr>
        <w:t>7</w:t>
      </w:r>
      <w:r w:rsidR="000A08BF" w:rsidRPr="006D1011">
        <w:rPr>
          <w:b/>
          <w:bCs/>
          <w:vertAlign w:val="superscript"/>
        </w:rPr>
        <w:t>th</w:t>
      </w:r>
      <w:r w:rsidR="006D1011" w:rsidRPr="006D1011">
        <w:rPr>
          <w:b/>
          <w:bCs/>
        </w:rPr>
        <w:t>/</w:t>
      </w:r>
      <w:r w:rsidR="006D1011">
        <w:rPr>
          <w:b/>
          <w:bCs/>
        </w:rPr>
        <w:t>8</w:t>
      </w:r>
      <w:r w:rsidR="006D1011" w:rsidRPr="006D1011">
        <w:rPr>
          <w:b/>
          <w:bCs/>
          <w:vertAlign w:val="superscript"/>
        </w:rPr>
        <w:t>th</w:t>
      </w:r>
      <w:r w:rsidR="006D1011">
        <w:rPr>
          <w:b/>
          <w:bCs/>
        </w:rPr>
        <w:t xml:space="preserve"> July</w:t>
      </w:r>
      <w:r w:rsidR="00B6680A" w:rsidRPr="000A08BF">
        <w:rPr>
          <w:b/>
          <w:bCs/>
        </w:rPr>
        <w:t xml:space="preserve"> 2025</w:t>
      </w:r>
      <w:r w:rsidR="00B6680A">
        <w:t xml:space="preserve">. </w:t>
      </w:r>
      <w:r w:rsidR="000A08BF">
        <w:t xml:space="preserve">Pressure will be on for another interest rate </w:t>
      </w:r>
      <w:r w:rsidR="00F67D7A">
        <w:t>move; however,</w:t>
      </w:r>
      <w:r w:rsidR="000A08BF">
        <w:t xml:space="preserve"> </w:t>
      </w:r>
      <w:r w:rsidR="00F67D7A">
        <w:t>the next round of economic data will determine what direction the RBA may take</w:t>
      </w:r>
      <w:r w:rsidR="000A08BF">
        <w:t>.</w:t>
      </w:r>
      <w:r w:rsidR="000A08BF" w:rsidRPr="000A08BF">
        <w:t xml:space="preserve"> </w:t>
      </w:r>
    </w:p>
    <w:p w14:paraId="31DAAEE4" w14:textId="157C0FF9" w:rsidR="00F67D7A" w:rsidRDefault="00806607" w:rsidP="00A352A1">
      <w:pPr>
        <w:spacing w:before="120"/>
      </w:pPr>
      <w:r>
        <w:t>Despite</w:t>
      </w:r>
      <w:r w:rsidR="00741B8E">
        <w:t xml:space="preserve"> more supply coming onto the housing market over </w:t>
      </w:r>
      <w:r w:rsidR="00457A4B">
        <w:t>April</w:t>
      </w:r>
      <w:r w:rsidR="00741B8E">
        <w:t xml:space="preserve"> and </w:t>
      </w:r>
      <w:r w:rsidR="00457A4B">
        <w:t>May</w:t>
      </w:r>
      <w:r w:rsidR="00741B8E">
        <w:t xml:space="preserve"> 2025, t</w:t>
      </w:r>
      <w:r w:rsidR="00A352A1">
        <w:t xml:space="preserve">he domestic house prices </w:t>
      </w:r>
      <w:r>
        <w:t>held their ground</w:t>
      </w:r>
      <w:r w:rsidR="00210AED">
        <w:t xml:space="preserve"> </w:t>
      </w:r>
      <w:r w:rsidR="00F67D7A">
        <w:t>however, the investment market volatility has led to recession talk and potentially an interest rate cut has buoyed house prices</w:t>
      </w:r>
      <w:r w:rsidR="00210AED">
        <w:t xml:space="preserve">. </w:t>
      </w:r>
    </w:p>
    <w:p w14:paraId="13AD9698" w14:textId="4605628A" w:rsidR="00A352A1" w:rsidRDefault="00F67D7A" w:rsidP="00A352A1">
      <w:pPr>
        <w:spacing w:before="120"/>
      </w:pPr>
      <w:r>
        <w:t xml:space="preserve">The first half of </w:t>
      </w:r>
      <w:r w:rsidR="00210AED">
        <w:t xml:space="preserve">2025 </w:t>
      </w:r>
      <w:r w:rsidR="00457A4B">
        <w:t>has proven to be</w:t>
      </w:r>
      <w:r w:rsidR="00A352A1">
        <w:t xml:space="preserve"> </w:t>
      </w:r>
      <w:r w:rsidR="003006BF">
        <w:t>challenging; however,</w:t>
      </w:r>
      <w:r w:rsidR="00A352A1">
        <w:t xml:space="preserve"> </w:t>
      </w:r>
      <w:r w:rsidR="00A352A1" w:rsidRPr="00EF169D">
        <w:rPr>
          <w:b/>
          <w:bCs/>
        </w:rPr>
        <w:t xml:space="preserve">the broader economy </w:t>
      </w:r>
      <w:r w:rsidR="00584C81">
        <w:rPr>
          <w:b/>
          <w:bCs/>
        </w:rPr>
        <w:t>is</w:t>
      </w:r>
      <w:r w:rsidR="00A352A1" w:rsidRPr="00EF169D">
        <w:rPr>
          <w:b/>
          <w:bCs/>
        </w:rPr>
        <w:t xml:space="preserve"> weathering the storm well </w:t>
      </w:r>
      <w:r w:rsidR="00A352A1">
        <w:t xml:space="preserve">given the mixed support from </w:t>
      </w:r>
      <w:r>
        <w:t>moderating</w:t>
      </w:r>
      <w:r w:rsidR="00A352A1">
        <w:t xml:space="preserve"> immigration levels and the st</w:t>
      </w:r>
      <w:r>
        <w:t>able</w:t>
      </w:r>
      <w:r w:rsidR="00A352A1">
        <w:t xml:space="preserve"> level of employment with unemployment </w:t>
      </w:r>
      <w:r w:rsidR="00806607">
        <w:t>unchanged at</w:t>
      </w:r>
      <w:r w:rsidR="00363E96">
        <w:t xml:space="preserve"> </w:t>
      </w:r>
      <w:r w:rsidR="008E4335">
        <w:t>4.</w:t>
      </w:r>
      <w:r w:rsidR="00806607">
        <w:t>1</w:t>
      </w:r>
      <w:r w:rsidR="00363E96">
        <w:t xml:space="preserve">% in </w:t>
      </w:r>
      <w:r w:rsidR="00806607">
        <w:t>April</w:t>
      </w:r>
      <w:r w:rsidR="00363E96">
        <w:t xml:space="preserve"> 202</w:t>
      </w:r>
      <w:r w:rsidR="00741B8E">
        <w:t>5</w:t>
      </w:r>
      <w:r w:rsidR="00806607">
        <w:t>.</w:t>
      </w:r>
    </w:p>
    <w:p w14:paraId="37B85C16" w14:textId="77777777" w:rsidR="00457A4B" w:rsidRPr="00457A4B" w:rsidRDefault="00457A4B" w:rsidP="00457A4B">
      <w:pPr>
        <w:rPr>
          <w:rFonts w:ascii="Calibri" w:hAnsi="Calibri" w:cs="Calibri"/>
          <w:color w:val="222222"/>
          <w:sz w:val="24"/>
          <w:szCs w:val="24"/>
          <w:shd w:val="clear" w:color="auto" w:fill="FFFFFF"/>
        </w:rPr>
      </w:pPr>
      <w:r w:rsidRPr="00457A4B">
        <w:rPr>
          <w:rFonts w:ascii="Calibri" w:hAnsi="Calibri" w:cs="Calibri"/>
          <w:color w:val="222222"/>
          <w:sz w:val="24"/>
          <w:szCs w:val="24"/>
          <w:shd w:val="clear" w:color="auto" w:fill="FFFFFF"/>
        </w:rPr>
        <w:t xml:space="preserve">The RBA decided to leave the </w:t>
      </w:r>
      <w:r w:rsidRPr="00457A4B">
        <w:rPr>
          <w:rFonts w:ascii="Calibri" w:hAnsi="Calibri" w:cs="Calibri"/>
          <w:b/>
          <w:bCs/>
          <w:color w:val="222222"/>
          <w:sz w:val="24"/>
          <w:szCs w:val="24"/>
          <w:shd w:val="clear" w:color="auto" w:fill="FFFFFF"/>
        </w:rPr>
        <w:t>target cash rate unchanged at 3.85%</w:t>
      </w:r>
      <w:r w:rsidRPr="00457A4B">
        <w:rPr>
          <w:rFonts w:ascii="Calibri" w:hAnsi="Calibri" w:cs="Calibri"/>
          <w:color w:val="222222"/>
          <w:sz w:val="24"/>
          <w:szCs w:val="24"/>
          <w:shd w:val="clear" w:color="auto" w:fill="FFFFFF"/>
        </w:rPr>
        <w:t xml:space="preserve"> following the 20th of May 2025 board meeting noting that the outlook remains uncertain.</w:t>
      </w:r>
    </w:p>
    <w:p w14:paraId="36B18A6A" w14:textId="77777777" w:rsidR="00457A4B" w:rsidRPr="00457A4B" w:rsidRDefault="00457A4B" w:rsidP="00457A4B">
      <w:pPr>
        <w:ind w:left="720"/>
        <w:rPr>
          <w:rFonts w:ascii="Calibri" w:hAnsi="Calibri" w:cs="Calibri"/>
          <w:i/>
          <w:iCs/>
          <w:color w:val="222222"/>
          <w:sz w:val="24"/>
          <w:szCs w:val="24"/>
          <w:shd w:val="clear" w:color="auto" w:fill="FFFFFF"/>
        </w:rPr>
      </w:pPr>
      <w:r w:rsidRPr="00457A4B">
        <w:rPr>
          <w:rFonts w:ascii="Calibri" w:hAnsi="Calibri" w:cs="Calibri"/>
          <w:i/>
          <w:iCs/>
          <w:color w:val="222222"/>
          <w:sz w:val="24"/>
          <w:szCs w:val="24"/>
          <w:shd w:val="clear" w:color="auto" w:fill="FFFFFF"/>
        </w:rPr>
        <w:t xml:space="preserve">“The Board judged that the risks to inflation had become more balanced but was mindful of the </w:t>
      </w:r>
      <w:r w:rsidRPr="00457A4B">
        <w:rPr>
          <w:rFonts w:ascii="Calibri" w:hAnsi="Calibri" w:cs="Calibri"/>
          <w:b/>
          <w:bCs/>
          <w:i/>
          <w:iCs/>
          <w:color w:val="222222"/>
          <w:sz w:val="24"/>
          <w:szCs w:val="24"/>
          <w:shd w:val="clear" w:color="auto" w:fill="FFFFFF"/>
        </w:rPr>
        <w:t xml:space="preserve">considerable uncertainty </w:t>
      </w:r>
      <w:r w:rsidRPr="00457A4B">
        <w:rPr>
          <w:rFonts w:ascii="Calibri" w:hAnsi="Calibri" w:cs="Calibri"/>
          <w:i/>
          <w:iCs/>
          <w:color w:val="222222"/>
          <w:sz w:val="24"/>
          <w:szCs w:val="24"/>
          <w:shd w:val="clear" w:color="auto" w:fill="FFFFFF"/>
        </w:rPr>
        <w:t xml:space="preserve">about the outlook. International developments are expected to weigh on the economy and, with inflation expected to remain around target, the Board judged that it was appropriate to ease monetary policy at this meeting. The Board nevertheless remains </w:t>
      </w:r>
      <w:r w:rsidRPr="00457A4B">
        <w:rPr>
          <w:rFonts w:ascii="Calibri" w:hAnsi="Calibri" w:cs="Calibri"/>
          <w:b/>
          <w:bCs/>
          <w:i/>
          <w:iCs/>
          <w:color w:val="222222"/>
          <w:sz w:val="24"/>
          <w:szCs w:val="24"/>
          <w:shd w:val="clear" w:color="auto" w:fill="FFFFFF"/>
        </w:rPr>
        <w:t>cautious about the outlook</w:t>
      </w:r>
      <w:r w:rsidRPr="00457A4B">
        <w:rPr>
          <w:rFonts w:ascii="Calibri" w:hAnsi="Calibri" w:cs="Calibri"/>
          <w:i/>
          <w:iCs/>
          <w:color w:val="222222"/>
          <w:sz w:val="24"/>
          <w:szCs w:val="24"/>
          <w:shd w:val="clear" w:color="auto" w:fill="FFFFFF"/>
        </w:rPr>
        <w:t xml:space="preserve">. The Board considered the severe downside scenario presented in this Statement and noted that monetary policy is well placed to respond decisively to international developments if they were to have material implications for activity and inflation in Australia. The Board will be </w:t>
      </w:r>
      <w:r w:rsidRPr="00457A4B">
        <w:rPr>
          <w:rFonts w:ascii="Calibri" w:hAnsi="Calibri" w:cs="Calibri"/>
          <w:b/>
          <w:bCs/>
          <w:i/>
          <w:iCs/>
          <w:color w:val="222222"/>
          <w:sz w:val="24"/>
          <w:szCs w:val="24"/>
          <w:shd w:val="clear" w:color="auto" w:fill="FFFFFF"/>
        </w:rPr>
        <w:t>attentive to the data</w:t>
      </w:r>
      <w:r w:rsidRPr="00457A4B">
        <w:rPr>
          <w:rFonts w:ascii="Calibri" w:hAnsi="Calibri" w:cs="Calibri"/>
          <w:i/>
          <w:iCs/>
          <w:color w:val="222222"/>
          <w:sz w:val="24"/>
          <w:szCs w:val="24"/>
          <w:shd w:val="clear" w:color="auto" w:fill="FFFFFF"/>
        </w:rPr>
        <w:t xml:space="preserve"> and the evolving assessment of risks and is focused on its mandate to deliver price stability and full employment “. Michelle Bullock, Governor, RBA Monetary Policy Board meeting, 20th May 2025.</w:t>
      </w:r>
    </w:p>
    <w:p w14:paraId="1D584BD3" w14:textId="319A5AF0" w:rsidR="00B51B45" w:rsidRPr="0042780D" w:rsidRDefault="00457A4B" w:rsidP="00457A4B">
      <w:pPr>
        <w:rPr>
          <w:rFonts w:ascii="Calibri" w:hAnsi="Calibri" w:cs="Calibri"/>
          <w:b/>
          <w:bCs/>
          <w:color w:val="222222"/>
          <w:sz w:val="24"/>
          <w:szCs w:val="24"/>
          <w:shd w:val="clear" w:color="auto" w:fill="FFFFFF"/>
        </w:rPr>
      </w:pPr>
      <w:r w:rsidRPr="00457A4B">
        <w:rPr>
          <w:rFonts w:ascii="Calibri" w:hAnsi="Calibri" w:cs="Calibri"/>
          <w:color w:val="222222"/>
          <w:sz w:val="24"/>
          <w:szCs w:val="24"/>
          <w:shd w:val="clear" w:color="auto" w:fill="FFFFFF"/>
        </w:rPr>
        <w:t>The next RBA Monetary Policy announcement is expected on the 7th/8th July 2025.</w:t>
      </w:r>
      <w:r w:rsidR="006D1011">
        <w:t xml:space="preserve"> </w:t>
      </w:r>
    </w:p>
    <w:p w14:paraId="6E761528" w14:textId="1A221A36" w:rsidR="00A352A1" w:rsidRDefault="00A352A1" w:rsidP="00A352A1">
      <w:r>
        <w:t xml:space="preserve">From a risk return perspective, markets are </w:t>
      </w:r>
      <w:r w:rsidR="00B51B45">
        <w:t>mixed</w:t>
      </w:r>
      <w:r>
        <w:t>:</w:t>
      </w:r>
    </w:p>
    <w:p w14:paraId="43E51706" w14:textId="5DA25095" w:rsidR="00375195" w:rsidRDefault="005C5CC9" w:rsidP="00A87065">
      <w:pPr>
        <w:jc w:val="center"/>
      </w:pPr>
      <w:r w:rsidRPr="005C5CC9">
        <w:rPr>
          <w:noProof/>
        </w:rPr>
        <w:lastRenderedPageBreak/>
        <w:drawing>
          <wp:inline distT="0" distB="0" distL="0" distR="0" wp14:anchorId="10D82EE7" wp14:editId="5E82042C">
            <wp:extent cx="5731510" cy="3995420"/>
            <wp:effectExtent l="0" t="0" r="2540" b="5080"/>
            <wp:docPr id="7256736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3995420"/>
                    </a:xfrm>
                    <a:prstGeom prst="rect">
                      <a:avLst/>
                    </a:prstGeom>
                    <a:noFill/>
                    <a:ln>
                      <a:noFill/>
                    </a:ln>
                  </pic:spPr>
                </pic:pic>
              </a:graphicData>
            </a:graphic>
          </wp:inline>
        </w:drawing>
      </w:r>
    </w:p>
    <w:p w14:paraId="708850CE" w14:textId="11527221" w:rsidR="00D712E9" w:rsidRDefault="00D712E9" w:rsidP="00D712E9">
      <w:r w:rsidRPr="00D712E9">
        <w:rPr>
          <w:sz w:val="18"/>
        </w:rPr>
        <w:t xml:space="preserve"> </w:t>
      </w:r>
      <w:r w:rsidRPr="00A70A09">
        <w:rPr>
          <w:sz w:val="18"/>
        </w:rPr>
        <w:t xml:space="preserve">Source data: Lonsec as of </w:t>
      </w:r>
      <w:r w:rsidR="005C5CC9">
        <w:rPr>
          <w:sz w:val="18"/>
        </w:rPr>
        <w:t>31</w:t>
      </w:r>
      <w:r w:rsidR="005C5CC9" w:rsidRPr="005C5CC9">
        <w:rPr>
          <w:sz w:val="18"/>
          <w:vertAlign w:val="superscript"/>
        </w:rPr>
        <w:t>st</w:t>
      </w:r>
      <w:r w:rsidR="005C5CC9">
        <w:rPr>
          <w:sz w:val="18"/>
        </w:rPr>
        <w:t xml:space="preserve"> May</w:t>
      </w:r>
      <w:r w:rsidR="00B3221F">
        <w:rPr>
          <w:sz w:val="18"/>
        </w:rPr>
        <w:t xml:space="preserve"> </w:t>
      </w:r>
      <w:r>
        <w:rPr>
          <w:sz w:val="18"/>
        </w:rPr>
        <w:t>202</w:t>
      </w:r>
      <w:r w:rsidR="00B6680A">
        <w:rPr>
          <w:sz w:val="18"/>
        </w:rPr>
        <w:t>5</w:t>
      </w:r>
    </w:p>
    <w:p w14:paraId="484D77E5" w14:textId="3DF771E5" w:rsidR="00115DDA" w:rsidRDefault="00115DDA" w:rsidP="00115DDA">
      <w:r>
        <w:t>From the chart above, you can gain an understanding of why investors over the past year h</w:t>
      </w:r>
      <w:r w:rsidR="00347702">
        <w:t>ave tilted</w:t>
      </w:r>
      <w:r>
        <w:t xml:space="preserve"> </w:t>
      </w:r>
      <w:r w:rsidR="00290B47">
        <w:t xml:space="preserve">their exposures </w:t>
      </w:r>
      <w:r>
        <w:t xml:space="preserve">towards shares over </w:t>
      </w:r>
      <w:r w:rsidR="00C22F5F">
        <w:t>property</w:t>
      </w:r>
      <w:r>
        <w:t xml:space="preserve"> given the higher risk </w:t>
      </w:r>
      <w:r w:rsidR="00290B47">
        <w:t xml:space="preserve">score </w:t>
      </w:r>
      <w:r>
        <w:t>resulting in higher returns in most cases.</w:t>
      </w:r>
    </w:p>
    <w:p w14:paraId="3F114484" w14:textId="04EEF9C0" w:rsidR="003C4073" w:rsidRPr="005C178D" w:rsidRDefault="003C4073" w:rsidP="003C4073">
      <w:pPr>
        <w:spacing w:before="0" w:after="160" w:line="259" w:lineRule="auto"/>
        <w:ind w:left="360"/>
        <w:rPr>
          <w:rFonts w:cs="Calibri"/>
          <w:i/>
          <w:iCs/>
          <w:color w:val="222222"/>
          <w:shd w:val="clear" w:color="auto" w:fill="FFFFFF"/>
        </w:rPr>
      </w:pPr>
      <w:r w:rsidRPr="005C178D">
        <w:rPr>
          <w:rFonts w:cs="Calibri"/>
          <w:i/>
          <w:iCs/>
          <w:color w:val="222222"/>
          <w:shd w:val="clear" w:color="auto" w:fill="FFFFFF"/>
        </w:rPr>
        <w:t xml:space="preserve">The risk measure is simply the one-year annualised standard deviation of the monthly total return time series for each category. The total return is the share or bond price movement monthly including any </w:t>
      </w:r>
      <w:r w:rsidR="001D4157" w:rsidRPr="005C178D">
        <w:rPr>
          <w:rFonts w:cs="Calibri"/>
          <w:i/>
          <w:iCs/>
          <w:color w:val="222222"/>
          <w:shd w:val="clear" w:color="auto" w:fill="FFFFFF"/>
        </w:rPr>
        <w:t xml:space="preserve">cash </w:t>
      </w:r>
      <w:r w:rsidRPr="005C178D">
        <w:rPr>
          <w:rFonts w:cs="Calibri"/>
          <w:i/>
          <w:iCs/>
          <w:color w:val="222222"/>
          <w:shd w:val="clear" w:color="auto" w:fill="FFFFFF"/>
        </w:rPr>
        <w:t>dividends and coupons payable.</w:t>
      </w:r>
    </w:p>
    <w:p w14:paraId="6664BFA6" w14:textId="016CDB17" w:rsidR="008B2268" w:rsidRDefault="008B2268" w:rsidP="004E0CA0">
      <w:r>
        <w:t xml:space="preserve">The </w:t>
      </w:r>
      <w:r w:rsidR="009756E0">
        <w:t>issues at the forefront of investors thoughts included</w:t>
      </w:r>
      <w:r>
        <w:t>:</w:t>
      </w:r>
    </w:p>
    <w:p w14:paraId="56F10D09" w14:textId="51672A7F" w:rsidR="000A6FC0" w:rsidRDefault="000A6FC0" w:rsidP="006C7B29">
      <w:pPr>
        <w:pStyle w:val="ListParagraph"/>
        <w:numPr>
          <w:ilvl w:val="0"/>
          <w:numId w:val="10"/>
        </w:numPr>
        <w:spacing w:before="0" w:after="160" w:line="259" w:lineRule="auto"/>
        <w:rPr>
          <w:rFonts w:cs="Calibri"/>
          <w:color w:val="222222"/>
          <w:sz w:val="24"/>
          <w:szCs w:val="24"/>
          <w:shd w:val="clear" w:color="auto" w:fill="FFFFFF"/>
        </w:rPr>
      </w:pPr>
      <w:r w:rsidRPr="000A6FC0">
        <w:rPr>
          <w:rFonts w:cs="Calibri"/>
          <w:b/>
          <w:bCs/>
          <w:color w:val="222222"/>
          <w:sz w:val="24"/>
          <w:szCs w:val="24"/>
          <w:shd w:val="clear" w:color="auto" w:fill="FFFFFF"/>
        </w:rPr>
        <w:t>Global Conflict</w:t>
      </w:r>
      <w:r>
        <w:rPr>
          <w:rFonts w:cs="Calibri"/>
          <w:color w:val="222222"/>
          <w:sz w:val="24"/>
          <w:szCs w:val="24"/>
          <w:shd w:val="clear" w:color="auto" w:fill="FFFFFF"/>
        </w:rPr>
        <w:t xml:space="preserve"> – The latest flare up in the Middle East with Israel and Iran.</w:t>
      </w:r>
    </w:p>
    <w:p w14:paraId="0496E34F" w14:textId="04B961FE" w:rsidR="006C7B29" w:rsidRDefault="000A6FC0" w:rsidP="006C7B29">
      <w:pPr>
        <w:pStyle w:val="ListParagraph"/>
        <w:numPr>
          <w:ilvl w:val="0"/>
          <w:numId w:val="10"/>
        </w:numPr>
        <w:spacing w:before="0" w:after="160" w:line="259" w:lineRule="auto"/>
        <w:rPr>
          <w:rFonts w:cs="Calibri"/>
          <w:color w:val="222222"/>
          <w:sz w:val="24"/>
          <w:szCs w:val="24"/>
          <w:shd w:val="clear" w:color="auto" w:fill="FFFFFF"/>
        </w:rPr>
      </w:pPr>
      <w:r w:rsidRPr="000A6FC0">
        <w:rPr>
          <w:rFonts w:cs="Calibri"/>
          <w:b/>
          <w:bCs/>
          <w:color w:val="222222"/>
          <w:sz w:val="24"/>
          <w:szCs w:val="24"/>
          <w:shd w:val="clear" w:color="auto" w:fill="FFFFFF"/>
        </w:rPr>
        <w:t>Trade Tariffs</w:t>
      </w:r>
      <w:r>
        <w:rPr>
          <w:rFonts w:cs="Calibri"/>
          <w:color w:val="222222"/>
          <w:sz w:val="24"/>
          <w:szCs w:val="24"/>
          <w:shd w:val="clear" w:color="auto" w:fill="FFFFFF"/>
        </w:rPr>
        <w:t xml:space="preserve"> - </w:t>
      </w:r>
      <w:r w:rsidR="006C7B29">
        <w:rPr>
          <w:rFonts w:cs="Calibri"/>
          <w:color w:val="222222"/>
          <w:sz w:val="24"/>
          <w:szCs w:val="24"/>
          <w:shd w:val="clear" w:color="auto" w:fill="FFFFFF"/>
        </w:rPr>
        <w:t xml:space="preserve">US President Trump changes to </w:t>
      </w:r>
      <w:r w:rsidR="006C7B29" w:rsidRPr="00C01921">
        <w:rPr>
          <w:rFonts w:cs="Calibri"/>
          <w:b/>
          <w:bCs/>
          <w:color w:val="222222"/>
          <w:sz w:val="24"/>
          <w:szCs w:val="24"/>
          <w:shd w:val="clear" w:color="auto" w:fill="FFFFFF"/>
        </w:rPr>
        <w:t>trade tariffs</w:t>
      </w:r>
      <w:r>
        <w:rPr>
          <w:rFonts w:cs="Calibri"/>
          <w:b/>
          <w:bCs/>
          <w:color w:val="222222"/>
          <w:sz w:val="24"/>
          <w:szCs w:val="24"/>
          <w:shd w:val="clear" w:color="auto" w:fill="FFFFFF"/>
        </w:rPr>
        <w:t xml:space="preserve"> expiry 9</w:t>
      </w:r>
      <w:r w:rsidRPr="000A6FC0">
        <w:rPr>
          <w:rFonts w:cs="Calibri"/>
          <w:b/>
          <w:bCs/>
          <w:color w:val="222222"/>
          <w:sz w:val="24"/>
          <w:szCs w:val="24"/>
          <w:shd w:val="clear" w:color="auto" w:fill="FFFFFF"/>
          <w:vertAlign w:val="superscript"/>
        </w:rPr>
        <w:t>th</w:t>
      </w:r>
      <w:r>
        <w:rPr>
          <w:rFonts w:cs="Calibri"/>
          <w:b/>
          <w:bCs/>
          <w:color w:val="222222"/>
          <w:sz w:val="24"/>
          <w:szCs w:val="24"/>
          <w:shd w:val="clear" w:color="auto" w:fill="FFFFFF"/>
        </w:rPr>
        <w:t xml:space="preserve"> July 2025</w:t>
      </w:r>
      <w:r w:rsidR="006C7B29">
        <w:rPr>
          <w:rFonts w:cs="Calibri"/>
          <w:b/>
          <w:bCs/>
          <w:color w:val="222222"/>
          <w:sz w:val="24"/>
          <w:szCs w:val="24"/>
          <w:shd w:val="clear" w:color="auto" w:fill="FFFFFF"/>
        </w:rPr>
        <w:t>.</w:t>
      </w:r>
    </w:p>
    <w:p w14:paraId="2B9B10D6" w14:textId="77777777" w:rsidR="006C7B29" w:rsidRDefault="006C7B29" w:rsidP="006C7B29">
      <w:pPr>
        <w:pStyle w:val="ListParagraph"/>
        <w:numPr>
          <w:ilvl w:val="0"/>
          <w:numId w:val="10"/>
        </w:numPr>
        <w:spacing w:before="0" w:after="160" w:line="259" w:lineRule="auto"/>
        <w:rPr>
          <w:rFonts w:cs="Calibri"/>
          <w:color w:val="222222"/>
          <w:sz w:val="24"/>
          <w:szCs w:val="24"/>
          <w:shd w:val="clear" w:color="auto" w:fill="FFFFFF"/>
        </w:rPr>
      </w:pPr>
      <w:r w:rsidRPr="000A6FC0">
        <w:rPr>
          <w:rFonts w:cs="Calibri"/>
          <w:b/>
          <w:bCs/>
          <w:color w:val="222222"/>
          <w:sz w:val="24"/>
          <w:szCs w:val="24"/>
          <w:shd w:val="clear" w:color="auto" w:fill="FFFFFF"/>
        </w:rPr>
        <w:t>Central banks</w:t>
      </w:r>
      <w:r>
        <w:rPr>
          <w:rFonts w:cs="Calibri"/>
          <w:color w:val="222222"/>
          <w:sz w:val="24"/>
          <w:szCs w:val="24"/>
          <w:shd w:val="clear" w:color="auto" w:fill="FFFFFF"/>
        </w:rPr>
        <w:t xml:space="preserve"> – the pace of follow-on </w:t>
      </w:r>
      <w:r w:rsidRPr="00AF73CB">
        <w:rPr>
          <w:rFonts w:cs="Calibri"/>
          <w:b/>
          <w:bCs/>
          <w:color w:val="222222"/>
          <w:sz w:val="24"/>
          <w:szCs w:val="24"/>
          <w:shd w:val="clear" w:color="auto" w:fill="FFFFFF"/>
        </w:rPr>
        <w:t xml:space="preserve">interest rate </w:t>
      </w:r>
      <w:r>
        <w:rPr>
          <w:rFonts w:cs="Calibri"/>
          <w:b/>
          <w:bCs/>
          <w:color w:val="222222"/>
          <w:sz w:val="24"/>
          <w:szCs w:val="24"/>
          <w:shd w:val="clear" w:color="auto" w:fill="FFFFFF"/>
        </w:rPr>
        <w:t>easing</w:t>
      </w:r>
      <w:r w:rsidRPr="00AF73CB">
        <w:rPr>
          <w:rFonts w:cs="Calibri"/>
          <w:color w:val="222222"/>
          <w:sz w:val="24"/>
          <w:szCs w:val="24"/>
          <w:shd w:val="clear" w:color="auto" w:fill="FFFFFF"/>
        </w:rPr>
        <w:t xml:space="preserve"> </w:t>
      </w:r>
      <w:r>
        <w:rPr>
          <w:rFonts w:cs="Calibri"/>
          <w:color w:val="222222"/>
          <w:sz w:val="24"/>
          <w:szCs w:val="24"/>
          <w:shd w:val="clear" w:color="auto" w:fill="FFFFFF"/>
        </w:rPr>
        <w:t xml:space="preserve">given the tariff issue. </w:t>
      </w:r>
      <w:r w:rsidRPr="00A640AB">
        <w:rPr>
          <w:rFonts w:cs="Calibri"/>
          <w:b/>
          <w:bCs/>
          <w:color w:val="222222"/>
          <w:sz w:val="24"/>
          <w:szCs w:val="24"/>
          <w:shd w:val="clear" w:color="auto" w:fill="FFFFFF"/>
        </w:rPr>
        <w:t>Hold</w:t>
      </w:r>
      <w:r>
        <w:rPr>
          <w:rFonts w:cs="Calibri"/>
          <w:color w:val="222222"/>
          <w:sz w:val="24"/>
          <w:szCs w:val="24"/>
          <w:shd w:val="clear" w:color="auto" w:fill="FFFFFF"/>
        </w:rPr>
        <w:t xml:space="preserve"> looks like being with us until the data says otherwise.</w:t>
      </w:r>
    </w:p>
    <w:p w14:paraId="76E1B1FD" w14:textId="77777777" w:rsidR="006C7B29" w:rsidRDefault="006C7B29" w:rsidP="006C7B29">
      <w:pPr>
        <w:pStyle w:val="ListParagraph"/>
        <w:numPr>
          <w:ilvl w:val="0"/>
          <w:numId w:val="10"/>
        </w:numPr>
        <w:spacing w:before="0" w:after="160" w:line="259" w:lineRule="auto"/>
        <w:rPr>
          <w:rFonts w:cs="Calibri"/>
          <w:color w:val="222222"/>
          <w:sz w:val="24"/>
          <w:szCs w:val="24"/>
          <w:shd w:val="clear" w:color="auto" w:fill="FFFFFF"/>
        </w:rPr>
      </w:pPr>
      <w:r w:rsidRPr="000A6FC0">
        <w:rPr>
          <w:rFonts w:cs="Calibri"/>
          <w:b/>
          <w:bCs/>
          <w:color w:val="222222"/>
          <w:sz w:val="24"/>
          <w:szCs w:val="24"/>
          <w:shd w:val="clear" w:color="auto" w:fill="FFFFFF"/>
        </w:rPr>
        <w:t>Inflation</w:t>
      </w:r>
      <w:r>
        <w:rPr>
          <w:rFonts w:cs="Calibri"/>
          <w:color w:val="222222"/>
          <w:sz w:val="24"/>
          <w:szCs w:val="24"/>
          <w:shd w:val="clear" w:color="auto" w:fill="FFFFFF"/>
        </w:rPr>
        <w:t xml:space="preserve"> – still stabilising but dependant on the tariff situation in the coming months.</w:t>
      </w:r>
    </w:p>
    <w:p w14:paraId="4B76255B" w14:textId="77777777" w:rsidR="006C7B29" w:rsidRDefault="006C7B29" w:rsidP="006C7B29">
      <w:pPr>
        <w:pStyle w:val="ListParagraph"/>
        <w:numPr>
          <w:ilvl w:val="0"/>
          <w:numId w:val="10"/>
        </w:numPr>
        <w:spacing w:before="0" w:after="160" w:line="259" w:lineRule="auto"/>
        <w:rPr>
          <w:rFonts w:cs="Calibri"/>
          <w:color w:val="222222"/>
          <w:sz w:val="24"/>
          <w:szCs w:val="24"/>
          <w:shd w:val="clear" w:color="auto" w:fill="FFFFFF"/>
        </w:rPr>
      </w:pPr>
      <w:r w:rsidRPr="000A6FC0">
        <w:rPr>
          <w:rFonts w:cs="Calibri"/>
          <w:b/>
          <w:bCs/>
          <w:color w:val="222222"/>
          <w:sz w:val="24"/>
          <w:szCs w:val="24"/>
          <w:shd w:val="clear" w:color="auto" w:fill="FFFFFF"/>
        </w:rPr>
        <w:t xml:space="preserve">Growth </w:t>
      </w:r>
      <w:r w:rsidRPr="002F2EA4">
        <w:rPr>
          <w:rFonts w:cs="Calibri"/>
          <w:color w:val="222222"/>
          <w:sz w:val="24"/>
          <w:szCs w:val="24"/>
          <w:shd w:val="clear" w:color="auto" w:fill="FFFFFF"/>
        </w:rPr>
        <w:t xml:space="preserve">– China </w:t>
      </w:r>
      <w:r>
        <w:rPr>
          <w:rFonts w:cs="Calibri"/>
          <w:color w:val="222222"/>
          <w:sz w:val="24"/>
          <w:szCs w:val="24"/>
          <w:shd w:val="clear" w:color="auto" w:fill="FFFFFF"/>
        </w:rPr>
        <w:t>and US tariffs. The POC has responded to the announcement on US tariffs (+30%) by placing reciprocal tariffs of 10% on US imports. We will wait and see how the negotiations pan out in the coming months.</w:t>
      </w:r>
    </w:p>
    <w:p w14:paraId="0E83E403" w14:textId="77777777" w:rsidR="006C7B29" w:rsidRDefault="006C7B29" w:rsidP="006C7B29">
      <w:pPr>
        <w:pStyle w:val="ListParagraph"/>
        <w:numPr>
          <w:ilvl w:val="0"/>
          <w:numId w:val="10"/>
        </w:numPr>
        <w:spacing w:before="0" w:after="160" w:line="259" w:lineRule="auto"/>
        <w:rPr>
          <w:rFonts w:cs="Calibri"/>
          <w:color w:val="222222"/>
          <w:sz w:val="24"/>
          <w:szCs w:val="24"/>
          <w:shd w:val="clear" w:color="auto" w:fill="FFFFFF"/>
        </w:rPr>
      </w:pPr>
      <w:r w:rsidRPr="000A6FC0">
        <w:rPr>
          <w:rFonts w:cs="Calibri"/>
          <w:b/>
          <w:bCs/>
          <w:color w:val="222222"/>
          <w:sz w:val="24"/>
          <w:szCs w:val="24"/>
          <w:shd w:val="clear" w:color="auto" w:fill="FFFFFF"/>
        </w:rPr>
        <w:lastRenderedPageBreak/>
        <w:t>Company Profits</w:t>
      </w:r>
      <w:r>
        <w:rPr>
          <w:rFonts w:cs="Calibri"/>
          <w:color w:val="222222"/>
          <w:sz w:val="24"/>
          <w:szCs w:val="24"/>
          <w:shd w:val="clear" w:color="auto" w:fill="FFFFFF"/>
        </w:rPr>
        <w:t xml:space="preserve"> – forward guidance </w:t>
      </w:r>
      <w:r w:rsidRPr="008C3C9B">
        <w:rPr>
          <w:rFonts w:cs="Calibri"/>
          <w:color w:val="222222"/>
          <w:sz w:val="24"/>
          <w:szCs w:val="24"/>
          <w:shd w:val="clear" w:color="auto" w:fill="FFFFFF"/>
        </w:rPr>
        <w:t>for earnings is likely to be impacted by US tariffs however,</w:t>
      </w:r>
      <w:r>
        <w:rPr>
          <w:rFonts w:cs="Calibri"/>
          <w:b/>
          <w:bCs/>
          <w:color w:val="222222"/>
          <w:sz w:val="24"/>
          <w:szCs w:val="24"/>
          <w:shd w:val="clear" w:color="auto" w:fill="FFFFFF"/>
        </w:rPr>
        <w:t xml:space="preserve"> for Australia, this is much better than other countries. </w:t>
      </w:r>
    </w:p>
    <w:p w14:paraId="74CEF34B" w14:textId="77777777" w:rsidR="006C7B29" w:rsidRDefault="006C7B29" w:rsidP="006C7B29">
      <w:pPr>
        <w:pStyle w:val="ListParagraph"/>
        <w:numPr>
          <w:ilvl w:val="0"/>
          <w:numId w:val="10"/>
        </w:numPr>
        <w:spacing w:before="0" w:after="160" w:line="259" w:lineRule="auto"/>
        <w:rPr>
          <w:rFonts w:cs="Calibri"/>
          <w:color w:val="222222"/>
          <w:sz w:val="24"/>
          <w:szCs w:val="24"/>
          <w:shd w:val="clear" w:color="auto" w:fill="FFFFFF"/>
        </w:rPr>
      </w:pPr>
      <w:r w:rsidRPr="000A6FC0">
        <w:rPr>
          <w:rFonts w:cs="Calibri"/>
          <w:b/>
          <w:bCs/>
          <w:color w:val="222222"/>
          <w:sz w:val="24"/>
          <w:szCs w:val="24"/>
          <w:shd w:val="clear" w:color="auto" w:fill="FFFFFF"/>
        </w:rPr>
        <w:t xml:space="preserve">Commodities </w:t>
      </w:r>
      <w:r w:rsidRPr="000A6FC0">
        <w:rPr>
          <w:rFonts w:cs="Calibri"/>
          <w:color w:val="222222"/>
          <w:sz w:val="24"/>
          <w:szCs w:val="24"/>
          <w:shd w:val="clear" w:color="auto" w:fill="FFFFFF"/>
        </w:rPr>
        <w:t>– softening of demand</w:t>
      </w:r>
      <w:r>
        <w:rPr>
          <w:rFonts w:cs="Calibri"/>
          <w:color w:val="222222"/>
          <w:sz w:val="24"/>
          <w:szCs w:val="24"/>
          <w:shd w:val="clear" w:color="auto" w:fill="FFFFFF"/>
        </w:rPr>
        <w:t xml:space="preserve"> for energy and EV related materials (lithium) as global demand slows. The trade conflict and continued problems in the Middle East is likely to stem consumer activity short term.</w:t>
      </w:r>
    </w:p>
    <w:p w14:paraId="07A4B833" w14:textId="57801EDB" w:rsidR="008B2268" w:rsidRDefault="000A6FC0" w:rsidP="003C40F3">
      <w:pPr>
        <w:pStyle w:val="ListParagraph"/>
        <w:numPr>
          <w:ilvl w:val="0"/>
          <w:numId w:val="8"/>
        </w:numPr>
      </w:pPr>
      <w:r w:rsidRPr="000A6FC0">
        <w:rPr>
          <w:b/>
          <w:bCs/>
        </w:rPr>
        <w:t>Downside Risks</w:t>
      </w:r>
      <w:r>
        <w:t xml:space="preserve"> - </w:t>
      </w:r>
      <w:r w:rsidR="006C7B29">
        <w:t>W</w:t>
      </w:r>
      <w:r w:rsidR="001415A2">
        <w:t xml:space="preserve">ith </w:t>
      </w:r>
      <w:r w:rsidR="00B648FE">
        <w:t xml:space="preserve">economic indicators </w:t>
      </w:r>
      <w:r w:rsidR="00634FDD">
        <w:t xml:space="preserve">flagging </w:t>
      </w:r>
      <w:r w:rsidR="00B648FE">
        <w:t xml:space="preserve">downside </w:t>
      </w:r>
      <w:r w:rsidR="002D4F09">
        <w:t>risks;</w:t>
      </w:r>
      <w:r w:rsidR="00D90A2B">
        <w:t xml:space="preserve"> however, </w:t>
      </w:r>
      <w:r w:rsidR="002D4F09" w:rsidRPr="002D4F09">
        <w:rPr>
          <w:b/>
          <w:bCs/>
        </w:rPr>
        <w:t xml:space="preserve">investors are encouraged </w:t>
      </w:r>
      <w:r w:rsidR="002C6C3E">
        <w:rPr>
          <w:b/>
          <w:bCs/>
        </w:rPr>
        <w:t xml:space="preserve">to </w:t>
      </w:r>
      <w:r w:rsidR="00E7618A">
        <w:rPr>
          <w:b/>
          <w:bCs/>
        </w:rPr>
        <w:t>maintain their cautiou</w:t>
      </w:r>
      <w:r w:rsidR="00484BBB">
        <w:rPr>
          <w:b/>
          <w:bCs/>
        </w:rPr>
        <w:t xml:space="preserve">s </w:t>
      </w:r>
      <w:r w:rsidR="00E7618A">
        <w:rPr>
          <w:b/>
          <w:bCs/>
        </w:rPr>
        <w:t>optimism</w:t>
      </w:r>
      <w:r w:rsidR="000218F1">
        <w:t>, navigate this period of uncertainty,</w:t>
      </w:r>
      <w:r w:rsidR="00B13339">
        <w:t xml:space="preserve"> and expect better conditions to prevail in</w:t>
      </w:r>
      <w:r w:rsidR="00886421">
        <w:t xml:space="preserve"> the rest of</w:t>
      </w:r>
      <w:r w:rsidR="00B13339">
        <w:t xml:space="preserve"> </w:t>
      </w:r>
      <w:r w:rsidR="005D4428">
        <w:t>202</w:t>
      </w:r>
      <w:r w:rsidR="00E247C3">
        <w:t>5</w:t>
      </w:r>
      <w:r w:rsidR="005D4428">
        <w:t>.</w:t>
      </w:r>
      <w:r w:rsidR="00A00F13">
        <w:t xml:space="preserve"> </w:t>
      </w:r>
    </w:p>
    <w:p w14:paraId="0FBDDE4B" w14:textId="05F03053" w:rsidR="0046215F" w:rsidRDefault="00886421" w:rsidP="002D7EED">
      <w:r>
        <w:t>In the face of the recent volatility, short-term i</w:t>
      </w:r>
      <w:r w:rsidR="005C4645">
        <w:t xml:space="preserve">nvestors </w:t>
      </w:r>
      <w:r w:rsidR="00802B47">
        <w:t>ha</w:t>
      </w:r>
      <w:r w:rsidR="001E3557">
        <w:t>d</w:t>
      </w:r>
      <w:r w:rsidR="00802B47">
        <w:t xml:space="preserve"> </w:t>
      </w:r>
      <w:r w:rsidRPr="001E3557">
        <w:t>taken risk off the</w:t>
      </w:r>
      <w:r>
        <w:t xml:space="preserve"> table in the mostly growth companies </w:t>
      </w:r>
      <w:r w:rsidR="001E3557">
        <w:t xml:space="preserve">however, after the </w:t>
      </w:r>
      <w:r w:rsidR="001E3557" w:rsidRPr="001E3557">
        <w:rPr>
          <w:b/>
          <w:bCs/>
        </w:rPr>
        <w:t>US</w:t>
      </w:r>
      <w:r w:rsidR="001E3557">
        <w:t xml:space="preserve"> </w:t>
      </w:r>
      <w:r w:rsidR="001E3557" w:rsidRPr="001E3557">
        <w:rPr>
          <w:b/>
          <w:bCs/>
        </w:rPr>
        <w:t>fix</w:t>
      </w:r>
      <w:r w:rsidR="001E3557">
        <w:rPr>
          <w:b/>
          <w:bCs/>
        </w:rPr>
        <w:t>ed</w:t>
      </w:r>
      <w:r w:rsidR="001E3557" w:rsidRPr="001E3557">
        <w:rPr>
          <w:b/>
          <w:bCs/>
        </w:rPr>
        <w:t xml:space="preserve"> tariffs for 90 days</w:t>
      </w:r>
      <w:r w:rsidR="001E3557">
        <w:t xml:space="preserve">, the share markets have responded with </w:t>
      </w:r>
      <w:r w:rsidR="001E3557" w:rsidRPr="001E3557">
        <w:rPr>
          <w:b/>
          <w:bCs/>
        </w:rPr>
        <w:t>sharp rallies higher</w:t>
      </w:r>
      <w:r w:rsidR="001E3557">
        <w:t xml:space="preserve"> which has eased market nervousness</w:t>
      </w:r>
      <w:r>
        <w:t xml:space="preserve">. Medium and longer term </w:t>
      </w:r>
      <w:r w:rsidR="001E3557">
        <w:t xml:space="preserve">they </w:t>
      </w:r>
      <w:r>
        <w:t xml:space="preserve">have </w:t>
      </w:r>
      <w:r w:rsidR="00C34A21">
        <w:t xml:space="preserve">maintained their </w:t>
      </w:r>
      <w:r w:rsidR="00802B47">
        <w:t xml:space="preserve">risk appetite </w:t>
      </w:r>
      <w:r w:rsidR="00C34A21">
        <w:t>at</w:t>
      </w:r>
      <w:r w:rsidR="0046215F" w:rsidRPr="00975C44">
        <w:rPr>
          <w:b/>
          <w:bCs/>
        </w:rPr>
        <w:t xml:space="preserve"> </w:t>
      </w:r>
      <w:r w:rsidR="00975C44" w:rsidRPr="00975C44">
        <w:rPr>
          <w:b/>
          <w:bCs/>
        </w:rPr>
        <w:t>“</w:t>
      </w:r>
      <w:r w:rsidR="00311F31">
        <w:rPr>
          <w:b/>
          <w:bCs/>
        </w:rPr>
        <w:t>cautiously optimistic</w:t>
      </w:r>
      <w:r w:rsidR="00975C44" w:rsidRPr="00975C44">
        <w:rPr>
          <w:b/>
          <w:bCs/>
        </w:rPr>
        <w:t>”</w:t>
      </w:r>
      <w:r w:rsidR="00975C44">
        <w:t xml:space="preserve"> </w:t>
      </w:r>
      <w:r w:rsidR="00B26539">
        <w:t xml:space="preserve">as they await the next round of </w:t>
      </w:r>
      <w:r w:rsidR="00C103CF">
        <w:t xml:space="preserve">inflation data and </w:t>
      </w:r>
      <w:r w:rsidR="00B26539">
        <w:t>Central Bank activity</w:t>
      </w:r>
      <w:r>
        <w:t xml:space="preserve">. </w:t>
      </w:r>
      <w:r w:rsidR="002D7EED" w:rsidRPr="002D7EED">
        <w:t>Opportunistic buying is recommended despite the possibility of an economic slowdown in the future, with the impact expected to be limited.</w:t>
      </w:r>
      <w:r w:rsidR="002D7EED">
        <w:t xml:space="preserve"> </w:t>
      </w:r>
      <w:r w:rsidR="005C4645">
        <w:t xml:space="preserve"> </w:t>
      </w:r>
      <w:r w:rsidR="006A01FF">
        <w:t xml:space="preserve">We are looking for a </w:t>
      </w:r>
      <w:r w:rsidR="006A01FF" w:rsidRPr="006A01FF">
        <w:rPr>
          <w:b/>
          <w:bCs/>
        </w:rPr>
        <w:t>soft landing</w:t>
      </w:r>
      <w:r w:rsidR="006A01FF">
        <w:t xml:space="preserve"> for Australia.</w:t>
      </w:r>
    </w:p>
    <w:p w14:paraId="2641A6CA" w14:textId="48CE4325" w:rsidR="00843E57" w:rsidRDefault="00EF6467" w:rsidP="004E0CA0">
      <w:r>
        <w:t>Ukraine</w:t>
      </w:r>
      <w:r w:rsidR="000A6FC0">
        <w:t xml:space="preserve">, Russia, Gaza, Iran </w:t>
      </w:r>
      <w:r w:rsidR="00EF169D">
        <w:t xml:space="preserve">and Israel conflict is still a major concern for investors however, </w:t>
      </w:r>
      <w:r w:rsidR="00784798">
        <w:t xml:space="preserve">we are a long way from the conflict zone and </w:t>
      </w:r>
      <w:r w:rsidR="006412E9">
        <w:t xml:space="preserve">the </w:t>
      </w:r>
      <w:r w:rsidR="00EF169D">
        <w:t xml:space="preserve">global </w:t>
      </w:r>
      <w:r w:rsidR="006A01FF">
        <w:t xml:space="preserve">economic data </w:t>
      </w:r>
      <w:r w:rsidR="00BB7944">
        <w:t xml:space="preserve">is improving </w:t>
      </w:r>
      <w:r w:rsidR="00CB3683">
        <w:t xml:space="preserve">slowly </w:t>
      </w:r>
      <w:r w:rsidR="00BB7944">
        <w:t xml:space="preserve">but the </w:t>
      </w:r>
      <w:r w:rsidR="00457450">
        <w:t xml:space="preserve">main </w:t>
      </w:r>
      <w:r w:rsidR="00BB7944">
        <w:t xml:space="preserve">influence on our </w:t>
      </w:r>
      <w:r w:rsidR="000A6FC0">
        <w:t xml:space="preserve">domestic </w:t>
      </w:r>
      <w:r w:rsidR="00BB7944">
        <w:t xml:space="preserve">market </w:t>
      </w:r>
      <w:r w:rsidR="00EF169D">
        <w:t xml:space="preserve">remains from </w:t>
      </w:r>
      <w:r w:rsidR="00BB7944">
        <w:t>offshore</w:t>
      </w:r>
      <w:r w:rsidR="00CB3683">
        <w:t>, especially China</w:t>
      </w:r>
      <w:r w:rsidR="00BB7944">
        <w:t xml:space="preserve">. </w:t>
      </w:r>
    </w:p>
    <w:p w14:paraId="3F20AC37" w14:textId="3CC901A3" w:rsidR="008C55C2" w:rsidRPr="008C55C2" w:rsidRDefault="008C55C2" w:rsidP="00B53288">
      <w:r w:rsidRPr="008C55C2">
        <w:t xml:space="preserve">China </w:t>
      </w:r>
      <w:r w:rsidR="001E3557">
        <w:t>continues to</w:t>
      </w:r>
      <w:r w:rsidRPr="008C55C2">
        <w:t xml:space="preserve"> ma</w:t>
      </w:r>
      <w:r w:rsidR="001E3557">
        <w:t>ke</w:t>
      </w:r>
      <w:r w:rsidRPr="008C55C2">
        <w:t xml:space="preserve"> fiscal and monetary policy announcements to </w:t>
      </w:r>
      <w:r w:rsidR="001E3557">
        <w:t>support</w:t>
      </w:r>
      <w:r w:rsidRPr="008C55C2">
        <w:t xml:space="preserve"> economic growth, </w:t>
      </w:r>
      <w:r w:rsidRPr="008C55C2">
        <w:rPr>
          <w:b/>
          <w:bCs/>
        </w:rPr>
        <w:t>targeting 5%</w:t>
      </w:r>
      <w:r w:rsidR="0040427A">
        <w:rPr>
          <w:b/>
          <w:bCs/>
        </w:rPr>
        <w:t xml:space="preserve"> over the next year. </w:t>
      </w:r>
      <w:r w:rsidR="0040427A" w:rsidRPr="0040427A">
        <w:t>I</w:t>
      </w:r>
      <w:r w:rsidRPr="008C55C2">
        <w:t xml:space="preserve">n response to </w:t>
      </w:r>
      <w:r w:rsidR="00CD56F0">
        <w:t>a</w:t>
      </w:r>
      <w:r w:rsidR="001C71C7">
        <w:t xml:space="preserve"> </w:t>
      </w:r>
      <w:r w:rsidR="00CD56F0">
        <w:t>dec</w:t>
      </w:r>
      <w:r w:rsidRPr="008C55C2">
        <w:t>rease in US tariffs</w:t>
      </w:r>
      <w:r w:rsidR="00720E08">
        <w:t xml:space="preserve"> </w:t>
      </w:r>
      <w:r w:rsidR="00CD56F0">
        <w:t>to</w:t>
      </w:r>
      <w:r w:rsidR="00720E08">
        <w:t xml:space="preserve"> </w:t>
      </w:r>
      <w:r w:rsidR="001E3557">
        <w:t>30</w:t>
      </w:r>
      <w:r w:rsidR="00720E08">
        <w:t>%</w:t>
      </w:r>
      <w:r w:rsidR="0040427A">
        <w:t>,</w:t>
      </w:r>
      <w:r w:rsidRPr="008C55C2">
        <w:t xml:space="preserve"> </w:t>
      </w:r>
      <w:r w:rsidR="0040427A">
        <w:t>Ch</w:t>
      </w:r>
      <w:r w:rsidR="001C71C7">
        <w:t xml:space="preserve">ina has </w:t>
      </w:r>
      <w:r w:rsidR="0040427A">
        <w:t xml:space="preserve">introduced a </w:t>
      </w:r>
      <w:r w:rsidR="001C71C7">
        <w:t>1</w:t>
      </w:r>
      <w:r w:rsidR="001E3557">
        <w:t>0</w:t>
      </w:r>
      <w:r w:rsidR="001C71C7">
        <w:t xml:space="preserve">% </w:t>
      </w:r>
      <w:r w:rsidR="0040427A">
        <w:t xml:space="preserve">tariff </w:t>
      </w:r>
      <w:r w:rsidR="001C71C7">
        <w:t>on US imported goods.</w:t>
      </w:r>
    </w:p>
    <w:p w14:paraId="0E2E95FA" w14:textId="79DE2032" w:rsidR="004104F2" w:rsidRPr="004B4415" w:rsidRDefault="00FB1617" w:rsidP="00B53288">
      <w:pPr>
        <w:rPr>
          <w:b/>
          <w:bCs/>
        </w:rPr>
      </w:pPr>
      <w:r w:rsidRPr="004B4415">
        <w:rPr>
          <w:b/>
          <w:bCs/>
        </w:rPr>
        <w:t xml:space="preserve">The following </w:t>
      </w:r>
      <w:r w:rsidR="004B4415">
        <w:rPr>
          <w:b/>
          <w:bCs/>
        </w:rPr>
        <w:t xml:space="preserve">total </w:t>
      </w:r>
      <w:r w:rsidRPr="004B4415">
        <w:rPr>
          <w:b/>
          <w:bCs/>
        </w:rPr>
        <w:t>re</w:t>
      </w:r>
      <w:r w:rsidR="004B4415">
        <w:rPr>
          <w:b/>
          <w:bCs/>
        </w:rPr>
        <w:t>turns</w:t>
      </w:r>
      <w:r w:rsidRPr="004B4415">
        <w:rPr>
          <w:b/>
          <w:bCs/>
        </w:rPr>
        <w:t xml:space="preserve"> </w:t>
      </w:r>
      <w:r w:rsidR="0081288E">
        <w:rPr>
          <w:b/>
          <w:bCs/>
        </w:rPr>
        <w:t xml:space="preserve">across the asset classes </w:t>
      </w:r>
      <w:r w:rsidRPr="004B4415">
        <w:rPr>
          <w:b/>
          <w:bCs/>
        </w:rPr>
        <w:t xml:space="preserve">are as of </w:t>
      </w:r>
      <w:r w:rsidR="003B1467">
        <w:rPr>
          <w:b/>
          <w:bCs/>
        </w:rPr>
        <w:t>3</w:t>
      </w:r>
      <w:r w:rsidR="000A6FC0">
        <w:rPr>
          <w:b/>
          <w:bCs/>
        </w:rPr>
        <w:t>1</w:t>
      </w:r>
      <w:r w:rsidR="000A6FC0" w:rsidRPr="000A6FC0">
        <w:rPr>
          <w:b/>
          <w:bCs/>
          <w:vertAlign w:val="superscript"/>
        </w:rPr>
        <w:t>st</w:t>
      </w:r>
      <w:r w:rsidR="000A6FC0">
        <w:rPr>
          <w:b/>
          <w:bCs/>
        </w:rPr>
        <w:t xml:space="preserve"> May</w:t>
      </w:r>
      <w:r w:rsidRPr="004B4415">
        <w:rPr>
          <w:b/>
          <w:bCs/>
        </w:rPr>
        <w:t xml:space="preserve"> 202</w:t>
      </w:r>
      <w:r w:rsidR="001C71C7">
        <w:rPr>
          <w:b/>
          <w:bCs/>
        </w:rPr>
        <w:t>5</w:t>
      </w:r>
      <w:r w:rsidRPr="004B4415">
        <w:rPr>
          <w:b/>
          <w:bCs/>
        </w:rPr>
        <w:t>:</w:t>
      </w:r>
    </w:p>
    <w:p w14:paraId="13295CC7" w14:textId="0DDB6A85" w:rsidR="004104F2" w:rsidRDefault="000A6FC0" w:rsidP="00B53288">
      <w:r w:rsidRPr="000A6FC0">
        <w:rPr>
          <w:noProof/>
        </w:rPr>
        <w:drawing>
          <wp:inline distT="0" distB="0" distL="0" distR="0" wp14:anchorId="7E48AB61" wp14:editId="1BC273A6">
            <wp:extent cx="5410200" cy="1409700"/>
            <wp:effectExtent l="0" t="0" r="0" b="0"/>
            <wp:docPr id="72061224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10200" cy="1409700"/>
                    </a:xfrm>
                    <a:prstGeom prst="rect">
                      <a:avLst/>
                    </a:prstGeom>
                    <a:noFill/>
                    <a:ln>
                      <a:noFill/>
                    </a:ln>
                  </pic:spPr>
                </pic:pic>
              </a:graphicData>
            </a:graphic>
          </wp:inline>
        </w:drawing>
      </w:r>
    </w:p>
    <w:p w14:paraId="549039F8" w14:textId="50BF20F9" w:rsidR="00867438" w:rsidRPr="00055F78" w:rsidRDefault="001308C8" w:rsidP="00055F78">
      <w:pPr>
        <w:jc w:val="center"/>
        <w:rPr>
          <w:sz w:val="18"/>
        </w:rPr>
      </w:pPr>
      <w:r w:rsidRPr="00A70A09">
        <w:rPr>
          <w:sz w:val="18"/>
        </w:rPr>
        <w:t xml:space="preserve">Source data: Lonsec as of </w:t>
      </w:r>
      <w:r w:rsidR="00E14DF7">
        <w:rPr>
          <w:sz w:val="18"/>
        </w:rPr>
        <w:t>3</w:t>
      </w:r>
      <w:r w:rsidR="000A6FC0">
        <w:rPr>
          <w:sz w:val="18"/>
        </w:rPr>
        <w:t>1</w:t>
      </w:r>
      <w:r w:rsidR="000A6FC0" w:rsidRPr="000A6FC0">
        <w:rPr>
          <w:sz w:val="18"/>
          <w:vertAlign w:val="superscript"/>
        </w:rPr>
        <w:t>st</w:t>
      </w:r>
      <w:r w:rsidR="000A6FC0">
        <w:rPr>
          <w:sz w:val="18"/>
        </w:rPr>
        <w:t xml:space="preserve"> May</w:t>
      </w:r>
      <w:r w:rsidR="00A001EA">
        <w:rPr>
          <w:sz w:val="18"/>
        </w:rPr>
        <w:t xml:space="preserve"> </w:t>
      </w:r>
      <w:r w:rsidR="0005797F">
        <w:rPr>
          <w:sz w:val="18"/>
        </w:rPr>
        <w:t>202</w:t>
      </w:r>
      <w:r w:rsidR="001C71C7">
        <w:rPr>
          <w:sz w:val="18"/>
        </w:rPr>
        <w:t>5</w:t>
      </w:r>
      <w:r w:rsidR="00BA2B8F">
        <w:fldChar w:fldCharType="begin"/>
      </w:r>
      <w:r w:rsidR="00BA2B8F">
        <w:instrText xml:space="preserve"> INCLUDEPICTURE "https://pbs.twimg.com/media/E6JeJH4WYAA_7yS?format=jpg&amp;name=4096x4096" \* MERGEFORMATINET </w:instrText>
      </w:r>
      <w:r w:rsidR="00BA2B8F">
        <w:fldChar w:fldCharType="separate"/>
      </w:r>
      <w:r w:rsidR="00BA2B8F">
        <w:fldChar w:fldCharType="end"/>
      </w:r>
    </w:p>
    <w:p w14:paraId="1DE3D6DE" w14:textId="40BE0EAB" w:rsidR="000C7672" w:rsidRDefault="00A23AF0" w:rsidP="00B53288">
      <w:r>
        <w:t>The developed markets a</w:t>
      </w:r>
      <w:r w:rsidR="00365C86">
        <w:t xml:space="preserve">sset classes </w:t>
      </w:r>
      <w:r w:rsidR="000A6FC0">
        <w:t>had a strong month in terms of performance</w:t>
      </w:r>
      <w:r w:rsidR="007B57BE">
        <w:t>.</w:t>
      </w:r>
      <w:r w:rsidR="00365C86">
        <w:t xml:space="preserve"> </w:t>
      </w:r>
      <w:r w:rsidR="007F0FC4">
        <w:t xml:space="preserve">The </w:t>
      </w:r>
      <w:r w:rsidR="005F21FA">
        <w:t>AUD/</w:t>
      </w:r>
      <w:r w:rsidR="007F0FC4">
        <w:t>USD f</w:t>
      </w:r>
      <w:r>
        <w:t>inish</w:t>
      </w:r>
      <w:r w:rsidR="00E72E45">
        <w:t xml:space="preserve">ed </w:t>
      </w:r>
      <w:r w:rsidR="00E14DF7">
        <w:t>higher</w:t>
      </w:r>
      <w:r w:rsidR="00E72E45">
        <w:t xml:space="preserve"> </w:t>
      </w:r>
      <w:r w:rsidR="00A001EA">
        <w:t xml:space="preserve">at </w:t>
      </w:r>
      <w:r w:rsidR="00311F31" w:rsidRPr="002D7EED">
        <w:rPr>
          <w:b/>
          <w:bCs/>
        </w:rPr>
        <w:t>0.6</w:t>
      </w:r>
      <w:r w:rsidR="003006BF" w:rsidRPr="002D7EED">
        <w:rPr>
          <w:b/>
          <w:bCs/>
        </w:rPr>
        <w:t>4</w:t>
      </w:r>
      <w:r w:rsidR="000A6FC0">
        <w:rPr>
          <w:b/>
          <w:bCs/>
        </w:rPr>
        <w:t>3</w:t>
      </w:r>
      <w:r w:rsidR="003006BF" w:rsidRPr="002D7EED">
        <w:rPr>
          <w:b/>
          <w:bCs/>
        </w:rPr>
        <w:t>6</w:t>
      </w:r>
      <w:r w:rsidR="00311F31" w:rsidRPr="002D7EED">
        <w:rPr>
          <w:b/>
          <w:bCs/>
        </w:rPr>
        <w:t xml:space="preserve"> </w:t>
      </w:r>
      <w:r w:rsidRPr="002D7EED">
        <w:rPr>
          <w:b/>
          <w:bCs/>
        </w:rPr>
        <w:t>(</w:t>
      </w:r>
      <w:r w:rsidR="00E14DF7" w:rsidRPr="002D7EED">
        <w:rPr>
          <w:b/>
          <w:bCs/>
        </w:rPr>
        <w:t>+</w:t>
      </w:r>
      <w:r w:rsidR="000A6FC0">
        <w:rPr>
          <w:b/>
          <w:bCs/>
        </w:rPr>
        <w:t>0.31</w:t>
      </w:r>
      <w:r w:rsidRPr="002D7EED">
        <w:rPr>
          <w:b/>
          <w:bCs/>
        </w:rPr>
        <w:t>%)</w:t>
      </w:r>
      <w:r w:rsidR="007F0FC4">
        <w:t xml:space="preserve"> </w:t>
      </w:r>
      <w:r w:rsidR="00E72E45">
        <w:t>for</w:t>
      </w:r>
      <w:r w:rsidR="007F0FC4">
        <w:t xml:space="preserve"> the month which </w:t>
      </w:r>
      <w:r w:rsidR="00E14DF7">
        <w:t>cost</w:t>
      </w:r>
      <w:r w:rsidR="007F0FC4">
        <w:t xml:space="preserve"> </w:t>
      </w:r>
      <w:r w:rsidR="00E7618A">
        <w:t xml:space="preserve">returns for </w:t>
      </w:r>
      <w:r w:rsidR="007F0FC4">
        <w:t xml:space="preserve">unhedged holdings. </w:t>
      </w:r>
    </w:p>
    <w:p w14:paraId="4A4DCEFF" w14:textId="000C6EAC" w:rsidR="001C4340" w:rsidRPr="001C4340" w:rsidRDefault="001C4340" w:rsidP="00B53288">
      <w:pPr>
        <w:rPr>
          <w:b/>
          <w:bCs/>
        </w:rPr>
      </w:pPr>
      <w:r w:rsidRPr="001C4340">
        <w:rPr>
          <w:b/>
          <w:bCs/>
        </w:rPr>
        <w:t>Asset Class Performance</w:t>
      </w:r>
    </w:p>
    <w:p w14:paraId="5FFD9B16" w14:textId="19964E5D" w:rsidR="00EA4358" w:rsidRDefault="005C6797" w:rsidP="00A001EA">
      <w:pPr>
        <w:jc w:val="center"/>
      </w:pPr>
      <w:r w:rsidRPr="005C6797">
        <w:rPr>
          <w:noProof/>
        </w:rPr>
        <w:lastRenderedPageBreak/>
        <w:drawing>
          <wp:inline distT="0" distB="0" distL="0" distR="0" wp14:anchorId="788B3FC7" wp14:editId="2DD10BE7">
            <wp:extent cx="5731510" cy="3514725"/>
            <wp:effectExtent l="0" t="0" r="2540" b="9525"/>
            <wp:docPr id="74256208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3514725"/>
                    </a:xfrm>
                    <a:prstGeom prst="rect">
                      <a:avLst/>
                    </a:prstGeom>
                    <a:noFill/>
                    <a:ln>
                      <a:noFill/>
                    </a:ln>
                  </pic:spPr>
                </pic:pic>
              </a:graphicData>
            </a:graphic>
          </wp:inline>
        </w:drawing>
      </w:r>
    </w:p>
    <w:p w14:paraId="4F173F3B" w14:textId="780D01E5" w:rsidR="00E2343E" w:rsidRDefault="001F3631" w:rsidP="00E7618A">
      <w:pPr>
        <w:jc w:val="center"/>
        <w:rPr>
          <w:sz w:val="16"/>
          <w:szCs w:val="16"/>
        </w:rPr>
      </w:pPr>
      <w:r w:rsidRPr="001F3631">
        <w:rPr>
          <w:sz w:val="16"/>
          <w:szCs w:val="16"/>
        </w:rPr>
        <w:t xml:space="preserve">Data Source: Lonsec </w:t>
      </w:r>
      <w:r w:rsidR="0062338B">
        <w:rPr>
          <w:sz w:val="16"/>
          <w:szCs w:val="16"/>
        </w:rPr>
        <w:t>as of</w:t>
      </w:r>
      <w:r w:rsidR="000458E9">
        <w:rPr>
          <w:sz w:val="16"/>
          <w:szCs w:val="16"/>
        </w:rPr>
        <w:t xml:space="preserve"> </w:t>
      </w:r>
      <w:r w:rsidR="00E14DF7">
        <w:rPr>
          <w:sz w:val="16"/>
          <w:szCs w:val="16"/>
        </w:rPr>
        <w:t>3</w:t>
      </w:r>
      <w:r w:rsidR="005C6797">
        <w:rPr>
          <w:sz w:val="16"/>
          <w:szCs w:val="16"/>
        </w:rPr>
        <w:t>1</w:t>
      </w:r>
      <w:r w:rsidR="005C6797" w:rsidRPr="005C6797">
        <w:rPr>
          <w:sz w:val="16"/>
          <w:szCs w:val="16"/>
          <w:vertAlign w:val="superscript"/>
        </w:rPr>
        <w:t>st</w:t>
      </w:r>
      <w:r w:rsidR="005C6797">
        <w:rPr>
          <w:sz w:val="16"/>
          <w:szCs w:val="16"/>
        </w:rPr>
        <w:t xml:space="preserve"> May</w:t>
      </w:r>
      <w:r w:rsidR="00063F3C">
        <w:rPr>
          <w:sz w:val="16"/>
          <w:szCs w:val="16"/>
          <w:vertAlign w:val="superscript"/>
        </w:rPr>
        <w:t xml:space="preserve"> </w:t>
      </w:r>
      <w:r w:rsidR="004E3C80">
        <w:rPr>
          <w:sz w:val="16"/>
          <w:szCs w:val="16"/>
        </w:rPr>
        <w:t>202</w:t>
      </w:r>
      <w:r w:rsidR="00E77D79">
        <w:rPr>
          <w:sz w:val="16"/>
          <w:szCs w:val="16"/>
        </w:rPr>
        <w:t>5</w:t>
      </w:r>
      <w:r w:rsidR="0062338B">
        <w:rPr>
          <w:sz w:val="16"/>
          <w:szCs w:val="16"/>
        </w:rPr>
        <w:t xml:space="preserve"> </w:t>
      </w:r>
      <w:r w:rsidRPr="001F3631">
        <w:rPr>
          <w:sz w:val="16"/>
          <w:szCs w:val="16"/>
        </w:rPr>
        <w:t>&amp; Fox Asset Management</w:t>
      </w:r>
    </w:p>
    <w:p w14:paraId="46E2DBFE" w14:textId="77777777" w:rsidR="00723CD3" w:rsidRDefault="00723CD3" w:rsidP="00F6077E">
      <w:pPr>
        <w:rPr>
          <w:b/>
          <w:bCs/>
        </w:rPr>
      </w:pPr>
    </w:p>
    <w:p w14:paraId="68131F76" w14:textId="60055035" w:rsidR="00D72B03" w:rsidRPr="00D72B03" w:rsidRDefault="007B7DEB" w:rsidP="00F6077E">
      <w:pPr>
        <w:rPr>
          <w:b/>
          <w:bCs/>
        </w:rPr>
      </w:pPr>
      <w:r>
        <w:rPr>
          <w:b/>
          <w:bCs/>
        </w:rPr>
        <w:t>In</w:t>
      </w:r>
      <w:r w:rsidRPr="00D72B03">
        <w:rPr>
          <w:b/>
          <w:bCs/>
        </w:rPr>
        <w:t>vestment</w:t>
      </w:r>
      <w:r w:rsidR="00D72B03" w:rsidRPr="00D72B03">
        <w:rPr>
          <w:b/>
          <w:bCs/>
        </w:rPr>
        <w:t xml:space="preserve"> Climate</w:t>
      </w:r>
    </w:p>
    <w:p w14:paraId="2986FB07" w14:textId="1DF3225F" w:rsidR="00723CD3" w:rsidRPr="00981955" w:rsidRDefault="004B4415" w:rsidP="001E16AE">
      <w:pPr>
        <w:spacing w:before="120" w:after="120"/>
      </w:pPr>
      <w:r>
        <w:t>T</w:t>
      </w:r>
      <w:r w:rsidR="00016329" w:rsidRPr="006A3FD2">
        <w:t xml:space="preserve">he </w:t>
      </w:r>
      <w:r w:rsidR="00D94036">
        <w:t xml:space="preserve">underlying </w:t>
      </w:r>
      <w:r w:rsidR="009D4C01">
        <w:t xml:space="preserve">uncertainty of </w:t>
      </w:r>
      <w:r w:rsidR="00016329" w:rsidRPr="006A3FD2">
        <w:t xml:space="preserve">investment </w:t>
      </w:r>
      <w:r w:rsidR="009D4C01">
        <w:t>markets</w:t>
      </w:r>
      <w:r w:rsidR="00016329">
        <w:t xml:space="preserve"> </w:t>
      </w:r>
      <w:r w:rsidR="007E0186">
        <w:t xml:space="preserve">in the </w:t>
      </w:r>
      <w:r w:rsidR="007E0186" w:rsidRPr="00C40007">
        <w:t xml:space="preserve">short term </w:t>
      </w:r>
      <w:r w:rsidR="00723CD3">
        <w:t xml:space="preserve">has </w:t>
      </w:r>
      <w:r w:rsidR="009D4C01">
        <w:t xml:space="preserve">given way to opportunistic buying </w:t>
      </w:r>
      <w:r w:rsidR="00723CD3">
        <w:t xml:space="preserve">reflecting the </w:t>
      </w:r>
      <w:r w:rsidR="009D4C01">
        <w:t xml:space="preserve">easing of </w:t>
      </w:r>
      <w:r w:rsidR="00723CD3">
        <w:t xml:space="preserve">volatility </w:t>
      </w:r>
      <w:r w:rsidR="009D4C01">
        <w:t xml:space="preserve">post the </w:t>
      </w:r>
      <w:r w:rsidR="00723CD3">
        <w:t xml:space="preserve">US tariffs </w:t>
      </w:r>
      <w:r w:rsidR="009D4C01">
        <w:t>announcements.</w:t>
      </w:r>
      <w:r w:rsidR="00723CD3">
        <w:t xml:space="preserve"> </w:t>
      </w:r>
      <w:r w:rsidR="00723CD3" w:rsidRPr="00723CD3">
        <w:rPr>
          <w:b/>
          <w:bCs/>
        </w:rPr>
        <w:t>Risk-</w:t>
      </w:r>
      <w:r w:rsidR="003006BF">
        <w:rPr>
          <w:b/>
          <w:bCs/>
        </w:rPr>
        <w:t>o</w:t>
      </w:r>
      <w:r w:rsidR="00723CD3" w:rsidRPr="00723CD3">
        <w:rPr>
          <w:b/>
          <w:bCs/>
        </w:rPr>
        <w:t>ff trades</w:t>
      </w:r>
      <w:r w:rsidR="00723CD3">
        <w:t xml:space="preserve"> </w:t>
      </w:r>
      <w:r w:rsidR="003006BF">
        <w:t>initially</w:t>
      </w:r>
      <w:r w:rsidR="00723CD3">
        <w:t xml:space="preserve"> dominated </w:t>
      </w:r>
      <w:r w:rsidR="003006BF">
        <w:t xml:space="preserve">activity, however, post the tariff freeze, </w:t>
      </w:r>
      <w:r w:rsidR="003006BF" w:rsidRPr="003006BF">
        <w:rPr>
          <w:b/>
          <w:bCs/>
        </w:rPr>
        <w:t>risk-on trades</w:t>
      </w:r>
      <w:r w:rsidR="003006BF">
        <w:t xml:space="preserve"> have dominated</w:t>
      </w:r>
      <w:r w:rsidR="00723CD3">
        <w:t xml:space="preserve">. This downside risk </w:t>
      </w:r>
      <w:r w:rsidR="00596BAB">
        <w:t xml:space="preserve">remains a </w:t>
      </w:r>
      <w:r w:rsidR="00981955">
        <w:t>real</w:t>
      </w:r>
      <w:r w:rsidR="00723CD3">
        <w:t xml:space="preserve"> </w:t>
      </w:r>
      <w:r w:rsidR="00596BAB">
        <w:t xml:space="preserve">threat </w:t>
      </w:r>
      <w:r w:rsidR="00723CD3">
        <w:t xml:space="preserve">given that all countries </w:t>
      </w:r>
      <w:r w:rsidR="00981955">
        <w:t xml:space="preserve">that trade (exporters) with the US </w:t>
      </w:r>
      <w:r w:rsidR="00723CD3">
        <w:t xml:space="preserve">are impacted by the tariffs. For </w:t>
      </w:r>
      <w:r w:rsidR="00DE11E9">
        <w:t>Australia,</w:t>
      </w:r>
      <w:r w:rsidR="00723CD3">
        <w:t xml:space="preserve"> the </w:t>
      </w:r>
      <w:r w:rsidR="00723CD3" w:rsidRPr="00723CD3">
        <w:rPr>
          <w:b/>
          <w:bCs/>
        </w:rPr>
        <w:t xml:space="preserve">impact is </w:t>
      </w:r>
      <w:r w:rsidR="00981955">
        <w:rPr>
          <w:b/>
          <w:bCs/>
        </w:rPr>
        <w:t>contained</w:t>
      </w:r>
      <w:r w:rsidR="00723CD3">
        <w:t xml:space="preserve"> to the </w:t>
      </w:r>
      <w:r w:rsidR="00723CD3" w:rsidRPr="00723CD3">
        <w:rPr>
          <w:b/>
          <w:bCs/>
        </w:rPr>
        <w:t xml:space="preserve">steel and aluminium </w:t>
      </w:r>
      <w:r w:rsidR="00981955">
        <w:rPr>
          <w:b/>
          <w:bCs/>
        </w:rPr>
        <w:t xml:space="preserve">(+25%) and everything else 10% </w:t>
      </w:r>
      <w:r w:rsidR="00981955" w:rsidRPr="00981955">
        <w:t xml:space="preserve">of </w:t>
      </w:r>
      <w:r w:rsidR="00723CD3" w:rsidRPr="00981955">
        <w:t>exports to the US</w:t>
      </w:r>
      <w:r w:rsidR="00DE11E9" w:rsidRPr="00981955">
        <w:t xml:space="preserve">. </w:t>
      </w:r>
      <w:r w:rsidR="00981955">
        <w:t>At this stage, Australia has not retaliated with any US tariffs</w:t>
      </w:r>
      <w:r w:rsidR="005D39A1">
        <w:t xml:space="preserve"> however, the AUKUS submarine agreement is now under review which may impact our defence needs.</w:t>
      </w:r>
    </w:p>
    <w:p w14:paraId="1701C39F" w14:textId="46C31A2D" w:rsidR="000678F3" w:rsidRDefault="00723CD3" w:rsidP="001E16AE">
      <w:pPr>
        <w:spacing w:before="120" w:after="120"/>
      </w:pPr>
      <w:r>
        <w:t xml:space="preserve">Medium-term investors </w:t>
      </w:r>
      <w:r w:rsidR="00665AF3">
        <w:t xml:space="preserve">are encouraged by the </w:t>
      </w:r>
      <w:r w:rsidR="00C92CC1">
        <w:t xml:space="preserve">anticipated </w:t>
      </w:r>
      <w:r w:rsidR="00665AF3">
        <w:t xml:space="preserve">gradual easing of interest </w:t>
      </w:r>
      <w:r w:rsidR="00DE11E9">
        <w:t>rates; however,</w:t>
      </w:r>
      <w:r w:rsidR="00C92CC1">
        <w:t xml:space="preserve"> the </w:t>
      </w:r>
      <w:r w:rsidR="002828E4">
        <w:t xml:space="preserve">unsettled nature of the </w:t>
      </w:r>
      <w:r w:rsidR="00E77D79">
        <w:t xml:space="preserve">share and </w:t>
      </w:r>
      <w:r w:rsidR="00C92CC1">
        <w:t xml:space="preserve">bond markets </w:t>
      </w:r>
      <w:r w:rsidR="002828E4">
        <w:t>clouds the short-term direction</w:t>
      </w:r>
      <w:r w:rsidR="00E77D79">
        <w:t>.</w:t>
      </w:r>
      <w:r w:rsidR="00665AF3">
        <w:t xml:space="preserve"> </w:t>
      </w:r>
      <w:r w:rsidR="00074A1A">
        <w:t>T</w:t>
      </w:r>
      <w:r w:rsidR="00B02125">
        <w:t xml:space="preserve">he </w:t>
      </w:r>
      <w:r w:rsidR="00074A1A">
        <w:t>soft-landing</w:t>
      </w:r>
      <w:r w:rsidR="00B02125">
        <w:t xml:space="preserve"> </w:t>
      </w:r>
      <w:r w:rsidR="00074A1A">
        <w:t xml:space="preserve">expectations </w:t>
      </w:r>
      <w:r w:rsidR="00B02125">
        <w:t xml:space="preserve">and </w:t>
      </w:r>
      <w:r w:rsidR="00B02125" w:rsidRPr="00981955">
        <w:rPr>
          <w:b/>
          <w:bCs/>
        </w:rPr>
        <w:t>economic recovery</w:t>
      </w:r>
      <w:r w:rsidR="00074A1A" w:rsidRPr="00981955">
        <w:rPr>
          <w:b/>
          <w:bCs/>
        </w:rPr>
        <w:t xml:space="preserve"> are still supported</w:t>
      </w:r>
      <w:r w:rsidR="00E77D79" w:rsidRPr="00981955">
        <w:rPr>
          <w:b/>
          <w:bCs/>
        </w:rPr>
        <w:t xml:space="preserve"> by the economic data</w:t>
      </w:r>
      <w:r w:rsidR="00854E2E">
        <w:t>,</w:t>
      </w:r>
      <w:r w:rsidR="00B02125">
        <w:t xml:space="preserve"> despite the </w:t>
      </w:r>
      <w:r>
        <w:t>recent volatility</w:t>
      </w:r>
      <w:r w:rsidR="001E16AE">
        <w:t xml:space="preserve">. </w:t>
      </w:r>
    </w:p>
    <w:p w14:paraId="0AEB38DD" w14:textId="0D141D52" w:rsidR="001E16AE" w:rsidRPr="003B1467" w:rsidRDefault="001E16AE" w:rsidP="001E16AE">
      <w:pPr>
        <w:spacing w:before="120" w:after="120"/>
      </w:pPr>
      <w:r>
        <w:t xml:space="preserve">The risk is that the conflict </w:t>
      </w:r>
      <w:r w:rsidR="00212DCC">
        <w:t xml:space="preserve">in the middle east </w:t>
      </w:r>
      <w:r>
        <w:t>may escalate and involve neighbours which could then inflame the situation. While this situation continues</w:t>
      </w:r>
      <w:r w:rsidR="00E7618A">
        <w:t xml:space="preserve"> and further sanctions are introduced</w:t>
      </w:r>
      <w:r>
        <w:t xml:space="preserve">, investors will be </w:t>
      </w:r>
      <w:r w:rsidR="007C64CC">
        <w:t>cautious</w:t>
      </w:r>
      <w:r>
        <w:t xml:space="preserve"> </w:t>
      </w:r>
      <w:r w:rsidR="00B02125">
        <w:t xml:space="preserve">around exposure to </w:t>
      </w:r>
      <w:r w:rsidR="002616C9">
        <w:t>energy (</w:t>
      </w:r>
      <w:r w:rsidR="007145A7">
        <w:t>oil,</w:t>
      </w:r>
      <w:r w:rsidR="00B02125">
        <w:t xml:space="preserve"> and gas</w:t>
      </w:r>
      <w:r w:rsidR="002616C9">
        <w:t>)</w:t>
      </w:r>
      <w:r w:rsidR="00B02125">
        <w:t xml:space="preserve">, </w:t>
      </w:r>
      <w:r>
        <w:t>however an</w:t>
      </w:r>
      <w:r w:rsidR="003B1467">
        <w:t>y</w:t>
      </w:r>
      <w:r>
        <w:t xml:space="preserve"> fall in </w:t>
      </w:r>
      <w:r w:rsidR="007C64CC">
        <w:t xml:space="preserve">interest rates will spur </w:t>
      </w:r>
      <w:r w:rsidR="007C64CC">
        <w:lastRenderedPageBreak/>
        <w:t xml:space="preserve">buying in </w:t>
      </w:r>
      <w:r>
        <w:t xml:space="preserve">asset </w:t>
      </w:r>
      <w:r w:rsidR="007C64CC">
        <w:t>classes that have been oversold in recent months (property</w:t>
      </w:r>
      <w:r w:rsidR="00E72E45">
        <w:t xml:space="preserve">) </w:t>
      </w:r>
      <w:r w:rsidR="00D35CCF">
        <w:t xml:space="preserve">however, the volatility of prices </w:t>
      </w:r>
      <w:r w:rsidR="002616C9">
        <w:t>remain.</w:t>
      </w:r>
    </w:p>
    <w:p w14:paraId="4D2D3182" w14:textId="0CB45064" w:rsidR="00201A4D" w:rsidRDefault="002671FD" w:rsidP="001E16AE">
      <w:pPr>
        <w:spacing w:before="120" w:after="120"/>
      </w:pPr>
      <w:r>
        <w:t>US c</w:t>
      </w:r>
      <w:r w:rsidR="0089672B">
        <w:t xml:space="preserve">onsumption </w:t>
      </w:r>
      <w:r w:rsidR="00B04D6E">
        <w:t xml:space="preserve">is </w:t>
      </w:r>
      <w:r w:rsidR="004361BB">
        <w:t xml:space="preserve">holding up well </w:t>
      </w:r>
      <w:r w:rsidR="003B1467">
        <w:t xml:space="preserve">with </w:t>
      </w:r>
      <w:r w:rsidR="003B1467" w:rsidRPr="00854E2E">
        <w:rPr>
          <w:b/>
          <w:bCs/>
        </w:rPr>
        <w:t xml:space="preserve">retail sales </w:t>
      </w:r>
      <w:r w:rsidR="00C92CC1">
        <w:rPr>
          <w:b/>
          <w:bCs/>
        </w:rPr>
        <w:t xml:space="preserve">YOY </w:t>
      </w:r>
      <w:r w:rsidR="00497862" w:rsidRPr="00854E2E">
        <w:rPr>
          <w:b/>
          <w:bCs/>
        </w:rPr>
        <w:t>ris</w:t>
      </w:r>
      <w:r w:rsidR="00074A1A" w:rsidRPr="00854E2E">
        <w:rPr>
          <w:b/>
          <w:bCs/>
        </w:rPr>
        <w:t>ing</w:t>
      </w:r>
      <w:r w:rsidR="003B1467" w:rsidRPr="00854E2E">
        <w:rPr>
          <w:b/>
          <w:bCs/>
        </w:rPr>
        <w:t xml:space="preserve"> by </w:t>
      </w:r>
      <w:r w:rsidR="00984AC0" w:rsidRPr="00854E2E">
        <w:rPr>
          <w:b/>
          <w:bCs/>
        </w:rPr>
        <w:t>(</w:t>
      </w:r>
      <w:r w:rsidR="00497862" w:rsidRPr="00854E2E">
        <w:rPr>
          <w:b/>
          <w:bCs/>
        </w:rPr>
        <w:t>+</w:t>
      </w:r>
      <w:r>
        <w:rPr>
          <w:b/>
          <w:bCs/>
        </w:rPr>
        <w:t>5.2</w:t>
      </w:r>
      <w:r w:rsidR="00074A1A" w:rsidRPr="00854E2E">
        <w:rPr>
          <w:b/>
          <w:bCs/>
        </w:rPr>
        <w:t>%</w:t>
      </w:r>
      <w:r w:rsidR="00984AC0" w:rsidRPr="00854E2E">
        <w:rPr>
          <w:b/>
          <w:bCs/>
        </w:rPr>
        <w:t>)</w:t>
      </w:r>
      <w:r w:rsidR="003B1467">
        <w:t xml:space="preserve"> in </w:t>
      </w:r>
      <w:r>
        <w:t>April</w:t>
      </w:r>
      <w:r w:rsidR="003B1467">
        <w:t xml:space="preserve"> 202</w:t>
      </w:r>
      <w:r w:rsidR="00981955">
        <w:t>5</w:t>
      </w:r>
      <w:r w:rsidR="003B1467">
        <w:t xml:space="preserve"> </w:t>
      </w:r>
      <w:r w:rsidR="00B04D6E">
        <w:t xml:space="preserve">which </w:t>
      </w:r>
      <w:r w:rsidR="00497862">
        <w:t>will</w:t>
      </w:r>
      <w:r w:rsidR="00B02125">
        <w:t xml:space="preserve"> </w:t>
      </w:r>
      <w:r w:rsidR="00074A1A">
        <w:t xml:space="preserve">impact company profit expectations </w:t>
      </w:r>
      <w:r w:rsidR="0089672B">
        <w:t>in the short-term</w:t>
      </w:r>
      <w:r w:rsidR="004361BB">
        <w:t xml:space="preserve"> and worry the </w:t>
      </w:r>
      <w:r>
        <w:t>Fed</w:t>
      </w:r>
      <w:r w:rsidR="00816FD5">
        <w:t xml:space="preserve"> from an inflation perspective</w:t>
      </w:r>
      <w:r w:rsidR="00984AC0">
        <w:t>.</w:t>
      </w:r>
      <w:r w:rsidR="00D74275">
        <w:t xml:space="preserve"> </w:t>
      </w:r>
    </w:p>
    <w:p w14:paraId="6B8750FC" w14:textId="09790109" w:rsidR="007C64CC" w:rsidRPr="00816FD5" w:rsidRDefault="00BE0AFA" w:rsidP="00F6077E">
      <w:r>
        <w:t xml:space="preserve">The </w:t>
      </w:r>
      <w:r w:rsidRPr="00DD3CC2">
        <w:rPr>
          <w:b/>
          <w:bCs/>
        </w:rPr>
        <w:t>medium-term view remains</w:t>
      </w:r>
      <w:r w:rsidRPr="00BE0AFA">
        <w:rPr>
          <w:b/>
          <w:bCs/>
        </w:rPr>
        <w:t xml:space="preserve"> positive</w:t>
      </w:r>
      <w:r>
        <w:t xml:space="preserve"> for returns </w:t>
      </w:r>
      <w:r w:rsidR="00897EBA">
        <w:t xml:space="preserve">despite </w:t>
      </w:r>
      <w:r w:rsidR="00816FD5" w:rsidRPr="00816FD5">
        <w:t xml:space="preserve">the </w:t>
      </w:r>
      <w:r w:rsidR="007C64CC" w:rsidRPr="00816FD5">
        <w:t xml:space="preserve">US Fed </w:t>
      </w:r>
      <w:r w:rsidR="00CF156A" w:rsidRPr="00816FD5">
        <w:t>Chair, Jerome Powel</w:t>
      </w:r>
      <w:r w:rsidR="00816FD5" w:rsidRPr="00816FD5">
        <w:t xml:space="preserve">s </w:t>
      </w:r>
      <w:r w:rsidR="002671FD">
        <w:t xml:space="preserve">downplaying </w:t>
      </w:r>
      <w:r w:rsidR="00665AF3">
        <w:t xml:space="preserve">further </w:t>
      </w:r>
      <w:r w:rsidR="00816FD5">
        <w:t>easing of interest rates in the US</w:t>
      </w:r>
      <w:r w:rsidR="00D35CCF">
        <w:t xml:space="preserve"> </w:t>
      </w:r>
      <w:r w:rsidR="00981955">
        <w:t xml:space="preserve">for the rest of </w:t>
      </w:r>
      <w:r w:rsidR="00D35CCF">
        <w:t>2025</w:t>
      </w:r>
      <w:r w:rsidR="00816FD5">
        <w:t>.</w:t>
      </w:r>
      <w:r w:rsidR="00816FD5" w:rsidRPr="00816FD5">
        <w:t xml:space="preserve"> </w:t>
      </w:r>
    </w:p>
    <w:p w14:paraId="024D1376" w14:textId="6FD61971" w:rsidR="00524F93" w:rsidRDefault="00524F93" w:rsidP="00524F93">
      <w:r w:rsidRPr="00524F93">
        <w:rPr>
          <w:b/>
          <w:bCs/>
        </w:rPr>
        <w:t xml:space="preserve">Longer term </w:t>
      </w:r>
      <w:r w:rsidR="0089672B">
        <w:rPr>
          <w:b/>
          <w:bCs/>
        </w:rPr>
        <w:t>investors</w:t>
      </w:r>
      <w:r w:rsidRPr="00524F93">
        <w:rPr>
          <w:b/>
          <w:bCs/>
        </w:rPr>
        <w:t xml:space="preserve"> </w:t>
      </w:r>
      <w:r w:rsidR="007C64CC">
        <w:rPr>
          <w:b/>
          <w:bCs/>
        </w:rPr>
        <w:t xml:space="preserve">are </w:t>
      </w:r>
      <w:r w:rsidRPr="009D5414">
        <w:rPr>
          <w:b/>
          <w:bCs/>
        </w:rPr>
        <w:t>optimistic</w:t>
      </w:r>
      <w:r>
        <w:t xml:space="preserve"> for a </w:t>
      </w:r>
      <w:r w:rsidR="005D2FDE">
        <w:t xml:space="preserve">recovery </w:t>
      </w:r>
      <w:r>
        <w:t xml:space="preserve">period ahead. Global Central Banks continue to indicate a resolve to get inflation under control however, the economic data is showing signs of </w:t>
      </w:r>
      <w:r w:rsidR="005F6840">
        <w:t>a</w:t>
      </w:r>
      <w:r w:rsidR="00897EBA">
        <w:t xml:space="preserve"> stabilising</w:t>
      </w:r>
      <w:r>
        <w:t xml:space="preserve"> </w:t>
      </w:r>
      <w:r w:rsidR="00212D0A">
        <w:t>despite</w:t>
      </w:r>
      <w:r w:rsidR="005F6840">
        <w:t xml:space="preserve"> </w:t>
      </w:r>
      <w:r>
        <w:t>inflation</w:t>
      </w:r>
      <w:r w:rsidR="007C64CC">
        <w:t xml:space="preserve"> </w:t>
      </w:r>
      <w:r w:rsidR="00212D0A">
        <w:t xml:space="preserve">being elevated </w:t>
      </w:r>
      <w:r w:rsidR="007C64CC">
        <w:t xml:space="preserve">and every indication is for future easing in monetary policy </w:t>
      </w:r>
      <w:r w:rsidR="00897EBA">
        <w:t xml:space="preserve">to be possible </w:t>
      </w:r>
      <w:r w:rsidR="005D2FDE">
        <w:t>over</w:t>
      </w:r>
      <w:r w:rsidR="00665AF3">
        <w:t xml:space="preserve"> 2025</w:t>
      </w:r>
      <w:r w:rsidR="007C64CC">
        <w:t xml:space="preserve">. Remember </w:t>
      </w:r>
      <w:r w:rsidR="007C64CC" w:rsidRPr="007C64CC">
        <w:rPr>
          <w:b/>
          <w:bCs/>
        </w:rPr>
        <w:t>markets are forward looking</w:t>
      </w:r>
      <w:r w:rsidR="007C64CC">
        <w:t xml:space="preserve"> so the support now is reflecting the expectations for conditions in </w:t>
      </w:r>
      <w:r w:rsidR="00847A22">
        <w:t>February</w:t>
      </w:r>
      <w:r w:rsidR="007C64CC">
        <w:t xml:space="preserve"> 20</w:t>
      </w:r>
      <w:r w:rsidR="00847A22">
        <w:t>26</w:t>
      </w:r>
      <w:r w:rsidR="007C64CC">
        <w:t>.</w:t>
      </w:r>
      <w:r>
        <w:t xml:space="preserve"> </w:t>
      </w:r>
    </w:p>
    <w:p w14:paraId="6F8EECA2" w14:textId="72921889" w:rsidR="00025089" w:rsidRPr="00025089" w:rsidRDefault="00025089" w:rsidP="008614EE">
      <w:pPr>
        <w:spacing w:before="120" w:after="120" w:line="240" w:lineRule="auto"/>
        <w:rPr>
          <w:b/>
          <w:bCs/>
        </w:rPr>
      </w:pPr>
      <w:r w:rsidRPr="00025089">
        <w:rPr>
          <w:b/>
          <w:bCs/>
        </w:rPr>
        <w:t xml:space="preserve">The following commentary is based on month-end closing prices as </w:t>
      </w:r>
      <w:r w:rsidR="00E97818" w:rsidRPr="00025089">
        <w:rPr>
          <w:b/>
          <w:bCs/>
        </w:rPr>
        <w:t>of</w:t>
      </w:r>
      <w:r w:rsidRPr="00025089">
        <w:rPr>
          <w:b/>
          <w:bCs/>
        </w:rPr>
        <w:t xml:space="preserve"> </w:t>
      </w:r>
      <w:r w:rsidR="00981955">
        <w:rPr>
          <w:b/>
          <w:bCs/>
        </w:rPr>
        <w:t>3</w:t>
      </w:r>
      <w:r w:rsidR="00FD39EE">
        <w:rPr>
          <w:b/>
          <w:bCs/>
        </w:rPr>
        <w:t>1</w:t>
      </w:r>
      <w:r w:rsidR="00FD39EE" w:rsidRPr="00FD39EE">
        <w:rPr>
          <w:b/>
          <w:bCs/>
          <w:vertAlign w:val="superscript"/>
        </w:rPr>
        <w:t>st</w:t>
      </w:r>
      <w:r w:rsidR="00FD39EE">
        <w:rPr>
          <w:b/>
          <w:bCs/>
        </w:rPr>
        <w:t xml:space="preserve"> May</w:t>
      </w:r>
      <w:r w:rsidRPr="00025089">
        <w:rPr>
          <w:b/>
          <w:bCs/>
        </w:rPr>
        <w:t xml:space="preserve"> </w:t>
      </w:r>
      <w:r w:rsidR="002F0E91" w:rsidRPr="00025089">
        <w:rPr>
          <w:b/>
          <w:bCs/>
        </w:rPr>
        <w:t>202</w:t>
      </w:r>
      <w:r w:rsidR="00A22C87">
        <w:rPr>
          <w:b/>
          <w:bCs/>
        </w:rPr>
        <w:t>5</w:t>
      </w:r>
      <w:r w:rsidR="00181027">
        <w:rPr>
          <w:b/>
          <w:bCs/>
        </w:rPr>
        <w:t>:</w:t>
      </w:r>
      <w:r w:rsidRPr="00025089">
        <w:rPr>
          <w:b/>
          <w:bCs/>
        </w:rPr>
        <w:t xml:space="preserve"> </w:t>
      </w:r>
    </w:p>
    <w:p w14:paraId="1C9B1309" w14:textId="4E158E79" w:rsidR="00A769F6" w:rsidRDefault="007B239A" w:rsidP="009E7EF6">
      <w:pPr>
        <w:spacing w:before="120" w:after="120" w:line="240" w:lineRule="auto"/>
      </w:pPr>
      <w:r w:rsidRPr="00F90325">
        <w:t xml:space="preserve">Global </w:t>
      </w:r>
      <w:r w:rsidR="00CB2DF1">
        <w:t xml:space="preserve">share </w:t>
      </w:r>
      <w:r w:rsidR="00F82AE9">
        <w:t xml:space="preserve">markets </w:t>
      </w:r>
      <w:r w:rsidR="00FA390E">
        <w:t xml:space="preserve">over </w:t>
      </w:r>
      <w:r w:rsidR="00FD39EE">
        <w:t>May</w:t>
      </w:r>
      <w:r w:rsidR="00B752EF">
        <w:t xml:space="preserve"> were</w:t>
      </w:r>
      <w:r w:rsidR="00FD39EE">
        <w:t xml:space="preserve"> strong </w:t>
      </w:r>
      <w:r w:rsidR="00131EB9">
        <w:t xml:space="preserve">with </w:t>
      </w:r>
      <w:r w:rsidR="00A769F6">
        <w:t xml:space="preserve">returns </w:t>
      </w:r>
      <w:r w:rsidR="00FD39EE">
        <w:t xml:space="preserve">recovering despite the </w:t>
      </w:r>
      <w:r w:rsidR="00981955">
        <w:t xml:space="preserve">ongoing </w:t>
      </w:r>
      <w:r w:rsidR="005D2FDE">
        <w:t>tariff situation</w:t>
      </w:r>
      <w:r w:rsidR="002344AE">
        <w:t xml:space="preserve"> and changing bouts of volatility</w:t>
      </w:r>
      <w:r w:rsidR="00A101AB">
        <w:t xml:space="preserve"> after every announcement</w:t>
      </w:r>
      <w:r w:rsidR="005D2FDE">
        <w:t>. The AUD/</w:t>
      </w:r>
      <w:r w:rsidR="00A769F6" w:rsidRPr="00A769F6">
        <w:t>USD</w:t>
      </w:r>
      <w:r w:rsidR="00A22C87">
        <w:t xml:space="preserve"> </w:t>
      </w:r>
      <w:r w:rsidR="00981955">
        <w:t>strength</w:t>
      </w:r>
      <w:r w:rsidR="005D2FDE">
        <w:t>en</w:t>
      </w:r>
      <w:r w:rsidR="00A101AB">
        <w:t>ed</w:t>
      </w:r>
      <w:r w:rsidR="00A769F6" w:rsidRPr="00A769F6">
        <w:t xml:space="preserve"> from 0.6</w:t>
      </w:r>
      <w:r w:rsidR="00FD39EE">
        <w:t>416</w:t>
      </w:r>
      <w:r w:rsidR="00A769F6" w:rsidRPr="00A769F6">
        <w:t xml:space="preserve"> to 0.6</w:t>
      </w:r>
      <w:r w:rsidR="00A101AB">
        <w:t>4</w:t>
      </w:r>
      <w:r w:rsidR="00FD39EE">
        <w:t>3</w:t>
      </w:r>
      <w:r w:rsidR="00A101AB">
        <w:t>6</w:t>
      </w:r>
      <w:r w:rsidR="005D2FDE">
        <w:t xml:space="preserve"> (</w:t>
      </w:r>
      <w:r w:rsidR="00981955">
        <w:t>+</w:t>
      </w:r>
      <w:r w:rsidR="00FD39EE">
        <w:t>0.31</w:t>
      </w:r>
      <w:r w:rsidR="005D2FDE">
        <w:t>%)</w:t>
      </w:r>
      <w:r w:rsidR="00A769F6" w:rsidRPr="00A769F6">
        <w:t xml:space="preserve">. The AUD/USD has since </w:t>
      </w:r>
      <w:r w:rsidR="00FD39EE">
        <w:t xml:space="preserve">surged higher </w:t>
      </w:r>
      <w:r w:rsidR="00A769F6" w:rsidRPr="00A769F6">
        <w:t xml:space="preserve">in recent trading </w:t>
      </w:r>
      <w:r w:rsidR="00A101AB">
        <w:t>at</w:t>
      </w:r>
      <w:r w:rsidR="00A22C87">
        <w:t xml:space="preserve"> 0.6</w:t>
      </w:r>
      <w:r w:rsidR="00FD39EE">
        <w:t>528</w:t>
      </w:r>
      <w:r w:rsidR="00A22C87">
        <w:t xml:space="preserve"> </w:t>
      </w:r>
      <w:r w:rsidR="002344AE">
        <w:t>(</w:t>
      </w:r>
      <w:r w:rsidR="00FD39EE">
        <w:t>+1.43%</w:t>
      </w:r>
      <w:r w:rsidR="002344AE">
        <w:t xml:space="preserve">) </w:t>
      </w:r>
      <w:r w:rsidR="00981955">
        <w:t xml:space="preserve">as </w:t>
      </w:r>
      <w:r w:rsidR="00FD39EE">
        <w:t>of</w:t>
      </w:r>
      <w:r w:rsidR="00981955">
        <w:t xml:space="preserve"> 1</w:t>
      </w:r>
      <w:r w:rsidR="00FD39EE">
        <w:t>7</w:t>
      </w:r>
      <w:r w:rsidR="00981955" w:rsidRPr="00981955">
        <w:rPr>
          <w:vertAlign w:val="superscript"/>
        </w:rPr>
        <w:t>th</w:t>
      </w:r>
      <w:r w:rsidR="00981955">
        <w:t xml:space="preserve"> </w:t>
      </w:r>
      <w:r w:rsidR="00FD39EE">
        <w:t>June</w:t>
      </w:r>
      <w:r w:rsidR="00981955">
        <w:t xml:space="preserve"> 2025</w:t>
      </w:r>
      <w:r w:rsidR="00A769F6" w:rsidRPr="00A769F6">
        <w:t>.</w:t>
      </w:r>
    </w:p>
    <w:p w14:paraId="2DCB7E32" w14:textId="0C854A84" w:rsidR="000678BF" w:rsidRDefault="00BC0503" w:rsidP="009E7EF6">
      <w:pPr>
        <w:spacing w:before="120" w:after="120" w:line="240" w:lineRule="auto"/>
      </w:pPr>
      <w:r w:rsidRPr="00BC0503">
        <w:t xml:space="preserve">The US </w:t>
      </w:r>
      <w:r w:rsidR="00FD39EE">
        <w:t xml:space="preserve">Fed is expected to leave the </w:t>
      </w:r>
      <w:r w:rsidRPr="00BC0503">
        <w:t xml:space="preserve">monetary policy </w:t>
      </w:r>
      <w:r w:rsidR="00FD39EE">
        <w:t xml:space="preserve">unchanged with the </w:t>
      </w:r>
      <w:r w:rsidRPr="00BC0503">
        <w:t xml:space="preserve">target range for federal funds </w:t>
      </w:r>
      <w:r w:rsidR="00A22C87">
        <w:t>at</w:t>
      </w:r>
      <w:r w:rsidRPr="00BC0503">
        <w:t xml:space="preserve"> </w:t>
      </w:r>
      <w:r w:rsidRPr="00BC0503">
        <w:rPr>
          <w:b/>
          <w:bCs/>
        </w:rPr>
        <w:t>4.25%-4.50%</w:t>
      </w:r>
      <w:r w:rsidRPr="00BC0503">
        <w:t xml:space="preserve"> </w:t>
      </w:r>
      <w:r>
        <w:t xml:space="preserve">when it met on the </w:t>
      </w:r>
      <w:r w:rsidR="00706124">
        <w:t>1</w:t>
      </w:r>
      <w:r w:rsidR="00FD39EE">
        <w:t>7</w:t>
      </w:r>
      <w:r w:rsidR="000678BF">
        <w:t>/</w:t>
      </w:r>
      <w:r w:rsidR="00FD39EE">
        <w:t>18</w:t>
      </w:r>
      <w:r w:rsidRPr="00FC4FEF">
        <w:rPr>
          <w:vertAlign w:val="superscript"/>
        </w:rPr>
        <w:t>th</w:t>
      </w:r>
      <w:r>
        <w:t xml:space="preserve"> </w:t>
      </w:r>
      <w:r w:rsidR="00FD39EE">
        <w:t>June</w:t>
      </w:r>
      <w:r>
        <w:t xml:space="preserve"> 202</w:t>
      </w:r>
      <w:r w:rsidR="000678BF">
        <w:t>5</w:t>
      </w:r>
      <w:r>
        <w:t>.</w:t>
      </w:r>
      <w:r w:rsidRPr="00BC0503">
        <w:t xml:space="preserve"> </w:t>
      </w:r>
      <w:r>
        <w:t>I</w:t>
      </w:r>
      <w:r w:rsidRPr="00BC0503">
        <w:t>nvestors are gaining more confidence that the economy is headed for a soft landing</w:t>
      </w:r>
      <w:r w:rsidR="002344AE">
        <w:t xml:space="preserve"> despite the intermittent </w:t>
      </w:r>
      <w:r w:rsidR="00D52F46">
        <w:t xml:space="preserve">bouts of </w:t>
      </w:r>
      <w:r w:rsidR="002344AE">
        <w:t>volatility</w:t>
      </w:r>
      <w:r w:rsidRPr="00BC0503">
        <w:t xml:space="preserve">. </w:t>
      </w:r>
    </w:p>
    <w:p w14:paraId="3EB233A4" w14:textId="360C8931" w:rsidR="00BC0503" w:rsidRDefault="00BC0503" w:rsidP="009E7EF6">
      <w:pPr>
        <w:spacing w:before="120" w:after="120" w:line="240" w:lineRule="auto"/>
      </w:pPr>
      <w:r w:rsidRPr="00BC0503">
        <w:t xml:space="preserve">The underlying </w:t>
      </w:r>
      <w:r w:rsidR="004A3955">
        <w:t xml:space="preserve">short-term </w:t>
      </w:r>
      <w:r w:rsidRPr="00BC0503">
        <w:t xml:space="preserve">theme is </w:t>
      </w:r>
      <w:r w:rsidR="00FD39EE" w:rsidRPr="00FD39EE">
        <w:rPr>
          <w:b/>
          <w:bCs/>
        </w:rPr>
        <w:t>cautiously optimistic</w:t>
      </w:r>
      <w:r w:rsidR="00FD39EE">
        <w:t xml:space="preserve"> </w:t>
      </w:r>
      <w:r w:rsidRPr="00BC0503">
        <w:t>for shares</w:t>
      </w:r>
      <w:r w:rsidR="002344AE">
        <w:t>. T</w:t>
      </w:r>
      <w:r w:rsidRPr="00BC0503">
        <w:t xml:space="preserve">he sharp </w:t>
      </w:r>
      <w:r w:rsidR="00292333">
        <w:t>r</w:t>
      </w:r>
      <w:r w:rsidRPr="00BC0503">
        <w:t>etracement moves in the market</w:t>
      </w:r>
      <w:r w:rsidR="009D7873">
        <w:t>s</w:t>
      </w:r>
      <w:r w:rsidRPr="00BC0503">
        <w:t xml:space="preserve"> in </w:t>
      </w:r>
      <w:r w:rsidR="00FD39EE">
        <w:t>May</w:t>
      </w:r>
      <w:r w:rsidR="000678BF">
        <w:t xml:space="preserve"> 202</w:t>
      </w:r>
      <w:r w:rsidR="005D2FDE">
        <w:t>5</w:t>
      </w:r>
      <w:r w:rsidRPr="00BC0503">
        <w:t xml:space="preserve"> </w:t>
      </w:r>
      <w:r w:rsidR="009D7873">
        <w:t>continues to</w:t>
      </w:r>
      <w:r w:rsidR="000678BF">
        <w:t xml:space="preserve"> </w:t>
      </w:r>
      <w:r w:rsidR="00292333">
        <w:t xml:space="preserve">support </w:t>
      </w:r>
      <w:r w:rsidR="00295529">
        <w:t>share prices</w:t>
      </w:r>
      <w:r w:rsidR="009D7873">
        <w:t>.</w:t>
      </w:r>
    </w:p>
    <w:p w14:paraId="6A0D8148" w14:textId="392BE297" w:rsidR="00B02125" w:rsidRPr="00BB456F" w:rsidRDefault="000035CC" w:rsidP="009E7EF6">
      <w:pPr>
        <w:spacing w:before="120" w:after="120" w:line="240" w:lineRule="auto"/>
        <w:rPr>
          <w:b/>
          <w:bCs/>
        </w:rPr>
      </w:pPr>
      <w:r w:rsidRPr="00BB456F">
        <w:rPr>
          <w:b/>
          <w:bCs/>
        </w:rPr>
        <w:t xml:space="preserve">Summary of </w:t>
      </w:r>
      <w:r w:rsidR="00BB456F">
        <w:rPr>
          <w:b/>
          <w:bCs/>
        </w:rPr>
        <w:t xml:space="preserve">global </w:t>
      </w:r>
      <w:r w:rsidRPr="00BB456F">
        <w:rPr>
          <w:b/>
          <w:bCs/>
        </w:rPr>
        <w:t>share returns</w:t>
      </w:r>
      <w:r w:rsidR="009718C7">
        <w:rPr>
          <w:b/>
          <w:bCs/>
        </w:rPr>
        <w:t xml:space="preserve"> in AUD terms</w:t>
      </w:r>
      <w:r w:rsidRPr="00BB456F">
        <w:rPr>
          <w:b/>
          <w:bCs/>
        </w:rPr>
        <w:t>:</w:t>
      </w:r>
    </w:p>
    <w:p w14:paraId="7204A7A0" w14:textId="528645E9" w:rsidR="00CB2DF1" w:rsidRDefault="008C6C61" w:rsidP="00CB2DF1">
      <w:pPr>
        <w:spacing w:before="120" w:after="120" w:line="240" w:lineRule="auto"/>
        <w:jc w:val="center"/>
      </w:pPr>
      <w:r w:rsidRPr="00167765">
        <w:rPr>
          <w:rFonts w:ascii="Calibri" w:hAnsi="Calibri" w:cs="Calibri"/>
          <w:b/>
          <w:bCs/>
          <w:noProof/>
          <w:color w:val="222222"/>
          <w:sz w:val="24"/>
          <w:szCs w:val="24"/>
          <w:shd w:val="clear" w:color="auto" w:fill="FFFFFF"/>
        </w:rPr>
        <w:drawing>
          <wp:inline distT="0" distB="0" distL="0" distR="0" wp14:anchorId="0434E838" wp14:editId="7CBD6762">
            <wp:extent cx="3933825" cy="1809750"/>
            <wp:effectExtent l="0" t="0" r="9525" b="0"/>
            <wp:docPr id="3407978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933825" cy="1809750"/>
                    </a:xfrm>
                    <a:prstGeom prst="rect">
                      <a:avLst/>
                    </a:prstGeom>
                    <a:noFill/>
                    <a:ln>
                      <a:noFill/>
                    </a:ln>
                  </pic:spPr>
                </pic:pic>
              </a:graphicData>
            </a:graphic>
          </wp:inline>
        </w:drawing>
      </w:r>
    </w:p>
    <w:p w14:paraId="37653ECA" w14:textId="0A49480F" w:rsidR="00FC4FEF" w:rsidRDefault="00FC4FEF" w:rsidP="00CB2DF1">
      <w:pPr>
        <w:spacing w:before="120" w:after="120" w:line="240" w:lineRule="auto"/>
        <w:jc w:val="center"/>
      </w:pPr>
      <w:r w:rsidRPr="001F3631">
        <w:rPr>
          <w:sz w:val="16"/>
          <w:szCs w:val="16"/>
        </w:rPr>
        <w:t xml:space="preserve">Data Source: Lonsec </w:t>
      </w:r>
      <w:r>
        <w:rPr>
          <w:sz w:val="16"/>
          <w:szCs w:val="16"/>
        </w:rPr>
        <w:t xml:space="preserve">as of </w:t>
      </w:r>
      <w:r w:rsidR="00D52F46">
        <w:rPr>
          <w:sz w:val="16"/>
          <w:szCs w:val="16"/>
        </w:rPr>
        <w:t>3</w:t>
      </w:r>
      <w:r w:rsidR="008C6C61">
        <w:rPr>
          <w:sz w:val="16"/>
          <w:szCs w:val="16"/>
        </w:rPr>
        <w:t>1</w:t>
      </w:r>
      <w:r w:rsidR="008C6C61" w:rsidRPr="008C6C61">
        <w:rPr>
          <w:sz w:val="16"/>
          <w:szCs w:val="16"/>
          <w:vertAlign w:val="superscript"/>
        </w:rPr>
        <w:t>st</w:t>
      </w:r>
      <w:r w:rsidR="008C6C61">
        <w:rPr>
          <w:sz w:val="16"/>
          <w:szCs w:val="16"/>
        </w:rPr>
        <w:t xml:space="preserve"> May</w:t>
      </w:r>
      <w:r w:rsidR="00295529">
        <w:rPr>
          <w:sz w:val="16"/>
          <w:szCs w:val="16"/>
        </w:rPr>
        <w:t xml:space="preserve"> </w:t>
      </w:r>
      <w:r>
        <w:rPr>
          <w:sz w:val="16"/>
          <w:szCs w:val="16"/>
          <w:vertAlign w:val="superscript"/>
        </w:rPr>
        <w:t xml:space="preserve"> </w:t>
      </w:r>
      <w:r>
        <w:rPr>
          <w:sz w:val="16"/>
          <w:szCs w:val="16"/>
        </w:rPr>
        <w:t>202</w:t>
      </w:r>
      <w:r w:rsidR="000678BF">
        <w:rPr>
          <w:sz w:val="16"/>
          <w:szCs w:val="16"/>
        </w:rPr>
        <w:t>5</w:t>
      </w:r>
    </w:p>
    <w:p w14:paraId="3E617E0D" w14:textId="7CD4E3DB" w:rsidR="009718C7" w:rsidRDefault="00F3465F" w:rsidP="009E7EF6">
      <w:pPr>
        <w:spacing w:before="120" w:after="120" w:line="240" w:lineRule="auto"/>
      </w:pPr>
      <w:r>
        <w:t>T</w:t>
      </w:r>
      <w:r w:rsidR="00BC034A">
        <w:t>he</w:t>
      </w:r>
      <w:r w:rsidR="00D76073">
        <w:t xml:space="preserve"> situation in</w:t>
      </w:r>
      <w:r>
        <w:t xml:space="preserve"> Russia/Ukraine </w:t>
      </w:r>
      <w:r w:rsidR="00BC034A">
        <w:t>conflict</w:t>
      </w:r>
      <w:r w:rsidR="00D76073">
        <w:t xml:space="preserve"> remains unchanged </w:t>
      </w:r>
      <w:r w:rsidR="00403EC7">
        <w:t xml:space="preserve">however </w:t>
      </w:r>
      <w:r w:rsidR="00802E86">
        <w:t>the latest conflict between Israel</w:t>
      </w:r>
      <w:r w:rsidR="00131EB9">
        <w:t>,</w:t>
      </w:r>
      <w:r w:rsidR="00802E86">
        <w:t xml:space="preserve"> </w:t>
      </w:r>
      <w:r w:rsidR="00131EB9">
        <w:t>Gaza (</w:t>
      </w:r>
      <w:r w:rsidR="00802E86">
        <w:t>H</w:t>
      </w:r>
      <w:r w:rsidR="008F5026">
        <w:t>a</w:t>
      </w:r>
      <w:r w:rsidR="00802E86">
        <w:t>mas</w:t>
      </w:r>
      <w:r w:rsidR="00131EB9">
        <w:t>) and now Lebanon</w:t>
      </w:r>
      <w:r w:rsidR="00802E86">
        <w:t xml:space="preserve"> </w:t>
      </w:r>
      <w:r w:rsidR="008C6C61">
        <w:t xml:space="preserve">and Iran </w:t>
      </w:r>
      <w:r w:rsidR="009718C7">
        <w:t xml:space="preserve">is showing </w:t>
      </w:r>
      <w:r w:rsidR="00435C10">
        <w:t xml:space="preserve">no </w:t>
      </w:r>
      <w:r w:rsidR="009718C7">
        <w:t xml:space="preserve">signs of abating </w:t>
      </w:r>
      <w:r w:rsidR="00435C10">
        <w:t>despite attempted peace talks</w:t>
      </w:r>
      <w:r w:rsidR="009718C7">
        <w:t>.</w:t>
      </w:r>
    </w:p>
    <w:p w14:paraId="4D1ADF38" w14:textId="208AA7C5" w:rsidR="00BD000B" w:rsidRDefault="00403EC7" w:rsidP="009E7EF6">
      <w:pPr>
        <w:spacing w:before="120" w:after="120" w:line="240" w:lineRule="auto"/>
      </w:pPr>
      <w:r>
        <w:lastRenderedPageBreak/>
        <w:t>U</w:t>
      </w:r>
      <w:r w:rsidR="00B700A9">
        <w:t>nfortunately,</w:t>
      </w:r>
      <w:r w:rsidR="00F24335">
        <w:t xml:space="preserve"> a resolution </w:t>
      </w:r>
      <w:r w:rsidR="0025751D">
        <w:t xml:space="preserve">to the </w:t>
      </w:r>
      <w:r w:rsidR="005200E9">
        <w:t xml:space="preserve">regional conflict </w:t>
      </w:r>
      <w:r w:rsidR="009718C7">
        <w:t>may be a</w:t>
      </w:r>
      <w:r w:rsidR="00F24335">
        <w:t xml:space="preserve"> way off </w:t>
      </w:r>
      <w:r w:rsidR="009718C7">
        <w:t>however</w:t>
      </w:r>
      <w:r w:rsidR="00D7423A">
        <w:t xml:space="preserve">, the underlying economies </w:t>
      </w:r>
      <w:r w:rsidR="005200E9">
        <w:t xml:space="preserve">elsewhere </w:t>
      </w:r>
      <w:r w:rsidR="00D7423A">
        <w:t xml:space="preserve">are emerging </w:t>
      </w:r>
      <w:r w:rsidR="005200E9">
        <w:t xml:space="preserve">with a growth orientated momentum </w:t>
      </w:r>
      <w:r w:rsidR="00D7423A">
        <w:t xml:space="preserve">after such </w:t>
      </w:r>
      <w:r w:rsidR="00216D19">
        <w:t>an extended period</w:t>
      </w:r>
      <w:r w:rsidR="00D7423A">
        <w:t xml:space="preserve"> of uncertainty.</w:t>
      </w:r>
    </w:p>
    <w:p w14:paraId="246E64DC" w14:textId="5326D7BA" w:rsidR="00BC1541" w:rsidRPr="00BC1541" w:rsidRDefault="00BC1541" w:rsidP="009E7EF6">
      <w:pPr>
        <w:tabs>
          <w:tab w:val="left" w:pos="5520"/>
        </w:tabs>
        <w:spacing w:before="120" w:after="120" w:line="240" w:lineRule="auto"/>
        <w:rPr>
          <w:b/>
          <w:bCs/>
        </w:rPr>
      </w:pPr>
      <w:r w:rsidRPr="00BC1541">
        <w:rPr>
          <w:b/>
          <w:bCs/>
        </w:rPr>
        <w:t>Investor Focus</w:t>
      </w:r>
    </w:p>
    <w:p w14:paraId="4E857430" w14:textId="1E881FF5" w:rsidR="00E210AE" w:rsidRPr="00E210AE" w:rsidRDefault="00257621" w:rsidP="00E210AE">
      <w:pPr>
        <w:tabs>
          <w:tab w:val="left" w:pos="5520"/>
        </w:tabs>
        <w:spacing w:before="120" w:after="120" w:line="240" w:lineRule="auto"/>
      </w:pPr>
      <w:r w:rsidRPr="00DF397C">
        <w:rPr>
          <w:b/>
          <w:bCs/>
        </w:rPr>
        <w:t>For Australia</w:t>
      </w:r>
      <w:r>
        <w:t>, i</w:t>
      </w:r>
      <w:r w:rsidR="00CF1D42" w:rsidRPr="000B0D93">
        <w:t>nvestors</w:t>
      </w:r>
      <w:r w:rsidR="009E7EF6" w:rsidRPr="000B0D93">
        <w:t xml:space="preserve"> focus</w:t>
      </w:r>
      <w:r>
        <w:t>sed o</w:t>
      </w:r>
      <w:r w:rsidR="00E52572">
        <w:t>n</w:t>
      </w:r>
      <w:r w:rsidR="00BC1541">
        <w:t xml:space="preserve"> </w:t>
      </w:r>
      <w:r w:rsidR="00E52572">
        <w:t>the following</w:t>
      </w:r>
      <w:r w:rsidR="00790F5A">
        <w:t xml:space="preserve"> issues:</w:t>
      </w:r>
    </w:p>
    <w:p w14:paraId="1159AA1C" w14:textId="50416409" w:rsidR="005200E9" w:rsidRDefault="00C52E4A" w:rsidP="003C40F3">
      <w:pPr>
        <w:pStyle w:val="ListParagraph"/>
        <w:numPr>
          <w:ilvl w:val="0"/>
          <w:numId w:val="6"/>
        </w:numPr>
        <w:spacing w:before="0" w:after="0" w:line="276" w:lineRule="auto"/>
        <w:ind w:left="357" w:hanging="357"/>
      </w:pPr>
      <w:r w:rsidRPr="008261BB">
        <w:rPr>
          <w:b/>
          <w:bCs/>
        </w:rPr>
        <w:t>Cost of living expenses</w:t>
      </w:r>
      <w:r>
        <w:t xml:space="preserve"> and the impact on </w:t>
      </w:r>
      <w:r w:rsidRPr="00C52E4A">
        <w:rPr>
          <w:b/>
          <w:bCs/>
        </w:rPr>
        <w:t>consumer spending</w:t>
      </w:r>
      <w:r w:rsidR="00617146">
        <w:t>.</w:t>
      </w:r>
    </w:p>
    <w:p w14:paraId="71F71B01" w14:textId="6F621A9F" w:rsidR="00C52E4A" w:rsidRDefault="00131EB9" w:rsidP="003C40F3">
      <w:pPr>
        <w:pStyle w:val="ListParagraph"/>
        <w:numPr>
          <w:ilvl w:val="0"/>
          <w:numId w:val="6"/>
        </w:numPr>
        <w:spacing w:before="0" w:after="0" w:line="276" w:lineRule="auto"/>
        <w:ind w:left="357" w:hanging="357"/>
      </w:pPr>
      <w:r>
        <w:rPr>
          <w:b/>
          <w:bCs/>
        </w:rPr>
        <w:t>C</w:t>
      </w:r>
      <w:r w:rsidR="00382D5C">
        <w:rPr>
          <w:b/>
          <w:bCs/>
        </w:rPr>
        <w:t xml:space="preserve">ommodity prices </w:t>
      </w:r>
      <w:r w:rsidRPr="00131EB9">
        <w:t xml:space="preserve">(post China policy changes) </w:t>
      </w:r>
      <w:r w:rsidR="00382D5C">
        <w:rPr>
          <w:b/>
          <w:bCs/>
        </w:rPr>
        <w:t>and the impact on company profits</w:t>
      </w:r>
      <w:r w:rsidR="007077FC">
        <w:rPr>
          <w:b/>
          <w:bCs/>
        </w:rPr>
        <w:t>.</w:t>
      </w:r>
    </w:p>
    <w:p w14:paraId="78654FD1" w14:textId="6921C8DC" w:rsidR="00C52E4A" w:rsidRDefault="00C52E4A" w:rsidP="003C40F3">
      <w:pPr>
        <w:pStyle w:val="ListParagraph"/>
        <w:numPr>
          <w:ilvl w:val="0"/>
          <w:numId w:val="6"/>
        </w:numPr>
        <w:spacing w:before="0" w:after="0" w:line="276" w:lineRule="auto"/>
        <w:ind w:left="357" w:hanging="357"/>
      </w:pPr>
      <w:r>
        <w:t xml:space="preserve">The level of </w:t>
      </w:r>
      <w:r w:rsidRPr="00C52E4A">
        <w:rPr>
          <w:b/>
          <w:bCs/>
        </w:rPr>
        <w:t>interest rates</w:t>
      </w:r>
      <w:r>
        <w:t xml:space="preserve"> and the delicate position of the RBA given </w:t>
      </w:r>
      <w:r w:rsidR="001B3379">
        <w:t xml:space="preserve">the </w:t>
      </w:r>
      <w:r w:rsidR="00B562DB">
        <w:t>global volatility in markets</w:t>
      </w:r>
      <w:r>
        <w:t>.</w:t>
      </w:r>
    </w:p>
    <w:p w14:paraId="5B79F6A2" w14:textId="765E5CD4" w:rsidR="007077FC" w:rsidRDefault="007077FC" w:rsidP="003C40F3">
      <w:pPr>
        <w:pStyle w:val="ListParagraph"/>
        <w:numPr>
          <w:ilvl w:val="0"/>
          <w:numId w:val="6"/>
        </w:numPr>
        <w:spacing w:before="0" w:after="0" w:line="276" w:lineRule="auto"/>
        <w:ind w:left="357" w:hanging="357"/>
      </w:pPr>
      <w:r w:rsidRPr="007077FC">
        <w:rPr>
          <w:b/>
          <w:bCs/>
        </w:rPr>
        <w:t>US tariffs</w:t>
      </w:r>
      <w:r>
        <w:t xml:space="preserve"> and the impact on Australia’s exports</w:t>
      </w:r>
      <w:r w:rsidR="00B562DB">
        <w:t>.</w:t>
      </w:r>
    </w:p>
    <w:p w14:paraId="72D4FB61" w14:textId="2BFD9E75" w:rsidR="00C52E4A" w:rsidRDefault="00C52E4A" w:rsidP="003C40F3">
      <w:pPr>
        <w:pStyle w:val="ListParagraph"/>
        <w:numPr>
          <w:ilvl w:val="0"/>
          <w:numId w:val="6"/>
        </w:numPr>
        <w:spacing w:before="0" w:after="0" w:line="276" w:lineRule="auto"/>
        <w:ind w:left="357" w:hanging="357"/>
      </w:pPr>
      <w:r w:rsidRPr="00C52E4A">
        <w:rPr>
          <w:b/>
          <w:bCs/>
        </w:rPr>
        <w:t>Inflation</w:t>
      </w:r>
      <w:r>
        <w:t xml:space="preserve"> </w:t>
      </w:r>
      <w:r w:rsidR="00382D5C">
        <w:t xml:space="preserve">(Y-O-Y) </w:t>
      </w:r>
      <w:r w:rsidR="009D7873">
        <w:t xml:space="preserve">was steady </w:t>
      </w:r>
      <w:r w:rsidR="00382D5C">
        <w:t xml:space="preserve">at </w:t>
      </w:r>
      <w:r w:rsidR="00CB2DF1" w:rsidRPr="007077FC">
        <w:rPr>
          <w:b/>
          <w:bCs/>
        </w:rPr>
        <w:t>2.</w:t>
      </w:r>
      <w:r w:rsidR="007077FC" w:rsidRPr="007077FC">
        <w:rPr>
          <w:b/>
          <w:bCs/>
        </w:rPr>
        <w:t>4</w:t>
      </w:r>
      <w:r w:rsidRPr="007077FC">
        <w:rPr>
          <w:b/>
          <w:bCs/>
        </w:rPr>
        <w:t>%</w:t>
      </w:r>
      <w:r>
        <w:t xml:space="preserve"> </w:t>
      </w:r>
      <w:r w:rsidR="009D7873">
        <w:t xml:space="preserve">unchanged </w:t>
      </w:r>
      <w:r>
        <w:t xml:space="preserve">in the </w:t>
      </w:r>
      <w:r w:rsidR="009D7873">
        <w:t>first</w:t>
      </w:r>
      <w:r>
        <w:t xml:space="preserve"> quarter of 202</w:t>
      </w:r>
      <w:r w:rsidR="009D7873">
        <w:t>5.</w:t>
      </w:r>
    </w:p>
    <w:p w14:paraId="5BA48DC4" w14:textId="3E3B3C2A" w:rsidR="00531BEC" w:rsidRPr="00531BEC" w:rsidRDefault="00531BEC" w:rsidP="003C40F3">
      <w:pPr>
        <w:pStyle w:val="ListParagraph"/>
        <w:numPr>
          <w:ilvl w:val="0"/>
          <w:numId w:val="6"/>
        </w:numPr>
        <w:spacing w:before="0" w:after="0" w:line="276" w:lineRule="auto"/>
        <w:ind w:left="357" w:hanging="357"/>
      </w:pPr>
      <w:r>
        <w:rPr>
          <w:b/>
          <w:bCs/>
        </w:rPr>
        <w:t xml:space="preserve">Government spending </w:t>
      </w:r>
      <w:r w:rsidRPr="00531BEC">
        <w:t>and the rising debt level.</w:t>
      </w:r>
    </w:p>
    <w:p w14:paraId="55B1C33B" w14:textId="35165882" w:rsidR="00515B71" w:rsidRDefault="00220A49" w:rsidP="00515B71">
      <w:pPr>
        <w:pStyle w:val="ListParagraph"/>
        <w:numPr>
          <w:ilvl w:val="0"/>
          <w:numId w:val="6"/>
        </w:numPr>
        <w:spacing w:before="120" w:after="120" w:line="276" w:lineRule="auto"/>
        <w:ind w:left="357" w:hanging="357"/>
      </w:pPr>
      <w:r w:rsidRPr="009D7873">
        <w:rPr>
          <w:b/>
          <w:bCs/>
        </w:rPr>
        <w:t>China growth prospects</w:t>
      </w:r>
      <w:r>
        <w:t xml:space="preserve"> –</w:t>
      </w:r>
      <w:r w:rsidR="00A87065" w:rsidRPr="00A87065">
        <w:t xml:space="preserve"> </w:t>
      </w:r>
      <w:r w:rsidR="002770F6">
        <w:t>T</w:t>
      </w:r>
      <w:r w:rsidR="00131EB9">
        <w:t>he P</w:t>
      </w:r>
      <w:r w:rsidR="002770F6">
        <w:t xml:space="preserve">eoples </w:t>
      </w:r>
      <w:r w:rsidR="00131EB9">
        <w:t>B</w:t>
      </w:r>
      <w:r w:rsidR="002770F6">
        <w:t xml:space="preserve">ank </w:t>
      </w:r>
      <w:r w:rsidR="00131EB9">
        <w:t>o</w:t>
      </w:r>
      <w:r w:rsidR="002770F6">
        <w:t xml:space="preserve">f </w:t>
      </w:r>
      <w:r w:rsidR="00131EB9">
        <w:t>C</w:t>
      </w:r>
      <w:r w:rsidR="002770F6">
        <w:t xml:space="preserve">hina </w:t>
      </w:r>
      <w:r w:rsidR="009D7873" w:rsidRPr="009D7873">
        <w:t>cut the seven-day reverse repurchase rates by 10 basis points to 1.4% from 1.5%, the People’s Bank of China Governor Pan Gongsheng said at a press briefing</w:t>
      </w:r>
      <w:r w:rsidR="009D7873">
        <w:t xml:space="preserve"> on the </w:t>
      </w:r>
      <w:r w:rsidR="00390B93">
        <w:t>6</w:t>
      </w:r>
      <w:r w:rsidR="00390B93" w:rsidRPr="009D7873">
        <w:rPr>
          <w:vertAlign w:val="superscript"/>
        </w:rPr>
        <w:t>th of</w:t>
      </w:r>
      <w:r w:rsidR="009D7873">
        <w:t xml:space="preserve"> May 2025. </w:t>
      </w:r>
    </w:p>
    <w:p w14:paraId="6A92ADB0" w14:textId="26504382" w:rsidR="00515B71" w:rsidRPr="00515B71" w:rsidRDefault="009D7873" w:rsidP="00515B71">
      <w:pPr>
        <w:pStyle w:val="ListParagraph"/>
        <w:spacing w:before="120" w:after="120" w:line="276" w:lineRule="auto"/>
        <w:ind w:left="357"/>
      </w:pPr>
      <w:r w:rsidRPr="009D7873">
        <w:t>The central bank will also lower the reserve requirement ratio, which determines the amount of cash banks must hold in reserves, by 50 basis points, unleashing additional liquidity of 1 trillion yuan (</w:t>
      </w:r>
      <w:r>
        <w:t>US</w:t>
      </w:r>
      <w:r w:rsidRPr="009D7873">
        <w:t>$138.5 billion) to the market</w:t>
      </w:r>
      <w:r>
        <w:t>, effective 15</w:t>
      </w:r>
      <w:r w:rsidRPr="009D7873">
        <w:rPr>
          <w:vertAlign w:val="superscript"/>
        </w:rPr>
        <w:t>th</w:t>
      </w:r>
      <w:r>
        <w:t xml:space="preserve"> May 2025</w:t>
      </w:r>
      <w:r w:rsidRPr="009D7873">
        <w:t>.</w:t>
      </w:r>
      <w:r>
        <w:t xml:space="preserve"> </w:t>
      </w:r>
    </w:p>
    <w:p w14:paraId="46D6F0C5" w14:textId="4F08D211" w:rsidR="009E7EF6" w:rsidRPr="00A040F8" w:rsidRDefault="006C3294" w:rsidP="00A040F8">
      <w:pPr>
        <w:pStyle w:val="Heading2"/>
        <w:rPr>
          <w:rFonts w:asciiTheme="minorHAnsi" w:eastAsiaTheme="minorEastAsia" w:hAnsiTheme="minorHAnsi" w:cstheme="minorBidi"/>
          <w:iCs w:val="0"/>
          <w:color w:val="414042" w:themeColor="text1"/>
          <w:sz w:val="22"/>
          <w:lang w:val="en-AU" w:bidi="ar-SA"/>
        </w:rPr>
      </w:pPr>
      <w:r w:rsidRPr="00A040F8">
        <w:rPr>
          <w:rFonts w:asciiTheme="minorHAnsi" w:eastAsiaTheme="minorEastAsia" w:hAnsiTheme="minorHAnsi" w:cstheme="minorBidi"/>
          <w:iCs w:val="0"/>
          <w:color w:val="414042" w:themeColor="text1"/>
          <w:sz w:val="22"/>
          <w:lang w:val="en-AU" w:bidi="ar-SA"/>
        </w:rPr>
        <w:t>A</w:t>
      </w:r>
      <w:r w:rsidR="009E7EF6" w:rsidRPr="00A040F8">
        <w:rPr>
          <w:rFonts w:asciiTheme="minorHAnsi" w:eastAsiaTheme="minorEastAsia" w:hAnsiTheme="minorHAnsi" w:cstheme="minorBidi"/>
          <w:iCs w:val="0"/>
          <w:color w:val="414042" w:themeColor="text1"/>
          <w:sz w:val="22"/>
          <w:lang w:val="en-AU" w:bidi="ar-SA"/>
        </w:rPr>
        <w:t>sset Class Returns</w:t>
      </w:r>
    </w:p>
    <w:p w14:paraId="39C4DEAF" w14:textId="6A066FE7" w:rsidR="00193344" w:rsidRDefault="0010573F" w:rsidP="008977E8">
      <w:pPr>
        <w:jc w:val="center"/>
        <w:rPr>
          <w:sz w:val="18"/>
        </w:rPr>
      </w:pPr>
      <w:r>
        <w:t xml:space="preserve">Returns across the various asset classes </w:t>
      </w:r>
      <w:r w:rsidR="00C5655B">
        <w:t xml:space="preserve">ended </w:t>
      </w:r>
      <w:r w:rsidR="00515B71">
        <w:t>mixed</w:t>
      </w:r>
      <w:r w:rsidR="00236F73">
        <w:t xml:space="preserve"> </w:t>
      </w:r>
      <w:r w:rsidR="0052476C">
        <w:t xml:space="preserve">over </w:t>
      </w:r>
      <w:r w:rsidR="00C5655B">
        <w:t>the month</w:t>
      </w:r>
      <w:r w:rsidR="004429BF">
        <w:t>:</w:t>
      </w:r>
      <w:r w:rsidR="008977E8" w:rsidRPr="008977E8">
        <w:t xml:space="preserve"> </w:t>
      </w:r>
      <w:r w:rsidR="008977E8" w:rsidRPr="008977E8">
        <w:rPr>
          <w:noProof/>
        </w:rPr>
        <w:drawing>
          <wp:inline distT="0" distB="0" distL="0" distR="0" wp14:anchorId="35A803E9" wp14:editId="315D5830">
            <wp:extent cx="3629025" cy="2900214"/>
            <wp:effectExtent l="0" t="0" r="0" b="0"/>
            <wp:docPr id="61054171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37199" cy="2906746"/>
                    </a:xfrm>
                    <a:prstGeom prst="rect">
                      <a:avLst/>
                    </a:prstGeom>
                    <a:noFill/>
                    <a:ln>
                      <a:noFill/>
                    </a:ln>
                  </pic:spPr>
                </pic:pic>
              </a:graphicData>
            </a:graphic>
          </wp:inline>
        </w:drawing>
      </w:r>
    </w:p>
    <w:p w14:paraId="23E92196" w14:textId="3D676BF2" w:rsidR="00193344" w:rsidRPr="00BE778B" w:rsidRDefault="00193344" w:rsidP="00193344">
      <w:pPr>
        <w:jc w:val="center"/>
        <w:rPr>
          <w:sz w:val="18"/>
        </w:rPr>
      </w:pPr>
      <w:bookmarkStart w:id="1" w:name="_Hlk535352886"/>
      <w:r w:rsidRPr="00A70A09">
        <w:rPr>
          <w:sz w:val="18"/>
        </w:rPr>
        <w:t xml:space="preserve">Source data: Lonsec as </w:t>
      </w:r>
      <w:r w:rsidR="008977E8">
        <w:rPr>
          <w:sz w:val="18"/>
        </w:rPr>
        <w:t>31</w:t>
      </w:r>
      <w:r w:rsidR="008977E8" w:rsidRPr="008977E8">
        <w:rPr>
          <w:sz w:val="18"/>
          <w:vertAlign w:val="superscript"/>
        </w:rPr>
        <w:t>st</w:t>
      </w:r>
      <w:r w:rsidR="008977E8">
        <w:rPr>
          <w:sz w:val="18"/>
        </w:rPr>
        <w:t xml:space="preserve"> May</w:t>
      </w:r>
      <w:r>
        <w:rPr>
          <w:sz w:val="18"/>
        </w:rPr>
        <w:t xml:space="preserve"> 202</w:t>
      </w:r>
      <w:r w:rsidR="00726A15">
        <w:rPr>
          <w:sz w:val="18"/>
        </w:rPr>
        <w:t>5</w:t>
      </w:r>
    </w:p>
    <w:bookmarkEnd w:id="1"/>
    <w:p w14:paraId="55813FF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lastRenderedPageBreak/>
        <w:t>Global Share Returns</w:t>
      </w:r>
    </w:p>
    <w:p w14:paraId="206A9790" w14:textId="30B89F4A" w:rsidR="008A4D67" w:rsidRDefault="00BE2741" w:rsidP="008A4D67">
      <w:pPr>
        <w:spacing w:before="120"/>
      </w:pPr>
      <w:r w:rsidRPr="00BE2741">
        <w:t>For share markets</w:t>
      </w:r>
      <w:r w:rsidR="00DD6C05">
        <w:t xml:space="preserve">, </w:t>
      </w:r>
      <w:r w:rsidR="00E51D44">
        <w:t xml:space="preserve">the </w:t>
      </w:r>
      <w:r w:rsidR="003824D8">
        <w:t xml:space="preserve">focus </w:t>
      </w:r>
      <w:r w:rsidR="00F65F3F">
        <w:t>re</w:t>
      </w:r>
      <w:r w:rsidR="002B61FC">
        <w:t>mains on</w:t>
      </w:r>
      <w:r w:rsidR="008A1580">
        <w:t xml:space="preserve"> </w:t>
      </w:r>
      <w:r w:rsidR="008A1580" w:rsidRPr="008A1580">
        <w:rPr>
          <w:b/>
          <w:bCs/>
        </w:rPr>
        <w:t>US tariffs</w:t>
      </w:r>
      <w:r w:rsidR="008A1580">
        <w:t>,</w:t>
      </w:r>
      <w:r w:rsidR="002B61FC">
        <w:t xml:space="preserve"> </w:t>
      </w:r>
      <w:r w:rsidR="00B23557" w:rsidRPr="00752356">
        <w:rPr>
          <w:b/>
          <w:bCs/>
        </w:rPr>
        <w:t>inflation</w:t>
      </w:r>
      <w:r w:rsidR="0089317F">
        <w:rPr>
          <w:b/>
          <w:bCs/>
        </w:rPr>
        <w:t xml:space="preserve">, </w:t>
      </w:r>
      <w:r w:rsidR="00DE11E9">
        <w:rPr>
          <w:b/>
          <w:bCs/>
        </w:rPr>
        <w:t>employment,</w:t>
      </w:r>
      <w:r w:rsidR="0089317F">
        <w:rPr>
          <w:b/>
          <w:bCs/>
        </w:rPr>
        <w:t xml:space="preserve"> </w:t>
      </w:r>
      <w:r w:rsidR="003C5801" w:rsidRPr="003C5801">
        <w:t xml:space="preserve">and </w:t>
      </w:r>
      <w:r w:rsidR="005738C3">
        <w:rPr>
          <w:b/>
          <w:bCs/>
        </w:rPr>
        <w:t>interest rate</w:t>
      </w:r>
      <w:r w:rsidR="008A1580">
        <w:rPr>
          <w:b/>
          <w:bCs/>
        </w:rPr>
        <w:t>s</w:t>
      </w:r>
      <w:r w:rsidR="00BC16B8">
        <w:rPr>
          <w:b/>
          <w:bCs/>
        </w:rPr>
        <w:t>.</w:t>
      </w:r>
      <w:r w:rsidR="00937E69">
        <w:t xml:space="preserve"> </w:t>
      </w:r>
      <w:r w:rsidR="007343AC">
        <w:t>Unhedged g</w:t>
      </w:r>
      <w:r w:rsidR="00557108">
        <w:t xml:space="preserve">lobal shares </w:t>
      </w:r>
      <w:r w:rsidR="005738C3">
        <w:t xml:space="preserve">had returns </w:t>
      </w:r>
      <w:r w:rsidR="00F4622D">
        <w:t xml:space="preserve">were affected by a </w:t>
      </w:r>
      <w:r w:rsidR="008A1580">
        <w:t>strength</w:t>
      </w:r>
      <w:r w:rsidR="00382D5C">
        <w:t>en</w:t>
      </w:r>
      <w:r w:rsidR="005738C3">
        <w:t>ing</w:t>
      </w:r>
      <w:r w:rsidR="004B2806">
        <w:t xml:space="preserve"> </w:t>
      </w:r>
      <w:r w:rsidR="00F4622D">
        <w:t>AUD/USD</w:t>
      </w:r>
      <w:r w:rsidR="00557108">
        <w:t xml:space="preserve"> (0.</w:t>
      </w:r>
      <w:r w:rsidR="00382D5C">
        <w:t>6</w:t>
      </w:r>
      <w:r w:rsidR="002B74FE">
        <w:t>4</w:t>
      </w:r>
      <w:r w:rsidR="0094216A">
        <w:t>3</w:t>
      </w:r>
      <w:r w:rsidR="002B74FE">
        <w:t>6</w:t>
      </w:r>
      <w:r w:rsidR="005738C3">
        <w:t xml:space="preserve"> </w:t>
      </w:r>
      <w:r w:rsidR="005A428D">
        <w:t>from</w:t>
      </w:r>
      <w:r w:rsidR="00557108">
        <w:t xml:space="preserve"> 0.6</w:t>
      </w:r>
      <w:r w:rsidR="0094216A">
        <w:t>416</w:t>
      </w:r>
      <w:r w:rsidR="00557108">
        <w:t xml:space="preserve">) which had </w:t>
      </w:r>
      <w:r w:rsidR="0083662A">
        <w:t>a</w:t>
      </w:r>
      <w:r w:rsidR="00557108">
        <w:t xml:space="preserve"> </w:t>
      </w:r>
      <w:r w:rsidR="00012004" w:rsidRPr="00012004">
        <w:rPr>
          <w:b/>
          <w:bCs/>
        </w:rPr>
        <w:t>negative</w:t>
      </w:r>
      <w:r w:rsidR="00557108" w:rsidRPr="00012004">
        <w:rPr>
          <w:b/>
          <w:bCs/>
        </w:rPr>
        <w:t xml:space="preserve"> </w:t>
      </w:r>
      <w:r w:rsidR="00557108" w:rsidRPr="00D33FFE">
        <w:rPr>
          <w:b/>
          <w:bCs/>
        </w:rPr>
        <w:t>impact</w:t>
      </w:r>
      <w:r w:rsidR="00557108" w:rsidRPr="00AE1347">
        <w:rPr>
          <w:b/>
          <w:bCs/>
        </w:rPr>
        <w:t xml:space="preserve"> of </w:t>
      </w:r>
      <w:r w:rsidR="00F65F3F" w:rsidRPr="00AE1347">
        <w:rPr>
          <w:b/>
          <w:bCs/>
        </w:rPr>
        <w:t>(</w:t>
      </w:r>
      <w:r w:rsidR="0094216A">
        <w:rPr>
          <w:b/>
          <w:bCs/>
        </w:rPr>
        <w:t>-0.31</w:t>
      </w:r>
      <w:r w:rsidR="00F65F3F" w:rsidRPr="00AE1347">
        <w:rPr>
          <w:b/>
          <w:bCs/>
        </w:rPr>
        <w:t xml:space="preserve">%) </w:t>
      </w:r>
      <w:r w:rsidR="0005073D" w:rsidRPr="00AE1347">
        <w:rPr>
          <w:b/>
          <w:bCs/>
        </w:rPr>
        <w:t>i</w:t>
      </w:r>
      <w:r w:rsidR="00557108" w:rsidRPr="00AE1347">
        <w:rPr>
          <w:b/>
          <w:bCs/>
        </w:rPr>
        <w:t xml:space="preserve">n </w:t>
      </w:r>
      <w:r w:rsidR="001D6939" w:rsidRPr="00AE1347">
        <w:rPr>
          <w:b/>
          <w:bCs/>
        </w:rPr>
        <w:t xml:space="preserve">AUD </w:t>
      </w:r>
      <w:r w:rsidR="00557108" w:rsidRPr="00AE1347">
        <w:rPr>
          <w:b/>
          <w:bCs/>
        </w:rPr>
        <w:t>returns</w:t>
      </w:r>
      <w:r w:rsidR="00557108">
        <w:t xml:space="preserve"> over the month</w:t>
      </w:r>
      <w:r w:rsidR="00EB2B42">
        <w:t xml:space="preserve"> for unhedged investors</w:t>
      </w:r>
      <w:r w:rsidR="00557108">
        <w:t>.</w:t>
      </w:r>
      <w:r w:rsidR="007B7DEB">
        <w:t xml:space="preserve"> </w:t>
      </w:r>
    </w:p>
    <w:p w14:paraId="13694BB7" w14:textId="43D1DAC4" w:rsidR="003C5801" w:rsidRDefault="00557108" w:rsidP="008A4D67">
      <w:pPr>
        <w:spacing w:before="120"/>
      </w:pPr>
      <w:r>
        <w:t>M</w:t>
      </w:r>
      <w:r w:rsidR="002B052C">
        <w:t xml:space="preserve">ost investors are content to </w:t>
      </w:r>
      <w:r w:rsidR="002B052C" w:rsidRPr="004F550F">
        <w:rPr>
          <w:b/>
          <w:bCs/>
        </w:rPr>
        <w:t xml:space="preserve">stay invested and </w:t>
      </w:r>
      <w:r w:rsidR="00711DF0">
        <w:rPr>
          <w:b/>
          <w:bCs/>
        </w:rPr>
        <w:t>opportunistically add to their positions</w:t>
      </w:r>
      <w:r w:rsidR="00DA22F2">
        <w:t xml:space="preserve"> </w:t>
      </w:r>
      <w:r w:rsidR="008D0519">
        <w:t xml:space="preserve">which has proven the correct strategy over the </w:t>
      </w:r>
      <w:r w:rsidR="0005073D">
        <w:t>recent medium-term trend</w:t>
      </w:r>
      <w:r w:rsidR="008D0519">
        <w:t>.</w:t>
      </w:r>
      <w:r w:rsidR="002B052C">
        <w:t xml:space="preserve"> </w:t>
      </w:r>
    </w:p>
    <w:p w14:paraId="6A843746" w14:textId="463BAAB8" w:rsidR="00317447" w:rsidRDefault="008977E8" w:rsidP="00CC263B">
      <w:pPr>
        <w:jc w:val="center"/>
        <w:rPr>
          <w:sz w:val="18"/>
        </w:rPr>
      </w:pPr>
      <w:r w:rsidRPr="008977E8">
        <w:rPr>
          <w:noProof/>
          <w:sz w:val="18"/>
        </w:rPr>
        <w:drawing>
          <wp:inline distT="0" distB="0" distL="0" distR="0" wp14:anchorId="35D9712E" wp14:editId="0D350634">
            <wp:extent cx="4648200" cy="3276600"/>
            <wp:effectExtent l="0" t="0" r="0" b="0"/>
            <wp:docPr id="193226426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648200" cy="3276600"/>
                    </a:xfrm>
                    <a:prstGeom prst="rect">
                      <a:avLst/>
                    </a:prstGeom>
                    <a:noFill/>
                    <a:ln>
                      <a:noFill/>
                    </a:ln>
                  </pic:spPr>
                </pic:pic>
              </a:graphicData>
            </a:graphic>
          </wp:inline>
        </w:drawing>
      </w:r>
    </w:p>
    <w:p w14:paraId="1D14B791" w14:textId="307666A3" w:rsidR="00CC263B" w:rsidRPr="00BE778B" w:rsidRDefault="00CC263B" w:rsidP="00CC263B">
      <w:pPr>
        <w:jc w:val="center"/>
        <w:rPr>
          <w:sz w:val="18"/>
        </w:rPr>
      </w:pPr>
      <w:r w:rsidRPr="00A70A09">
        <w:rPr>
          <w:sz w:val="18"/>
        </w:rPr>
        <w:t>Source data: Lonsec as of</w:t>
      </w:r>
      <w:r>
        <w:rPr>
          <w:sz w:val="18"/>
        </w:rPr>
        <w:t xml:space="preserve"> </w:t>
      </w:r>
      <w:r w:rsidR="00012004">
        <w:rPr>
          <w:sz w:val="18"/>
        </w:rPr>
        <w:t>3</w:t>
      </w:r>
      <w:r w:rsidR="0094216A">
        <w:rPr>
          <w:sz w:val="18"/>
        </w:rPr>
        <w:t>1</w:t>
      </w:r>
      <w:r w:rsidR="0094216A" w:rsidRPr="0094216A">
        <w:rPr>
          <w:sz w:val="18"/>
          <w:vertAlign w:val="superscript"/>
        </w:rPr>
        <w:t>st</w:t>
      </w:r>
      <w:r w:rsidR="0094216A">
        <w:rPr>
          <w:sz w:val="18"/>
        </w:rPr>
        <w:t xml:space="preserve"> May</w:t>
      </w:r>
      <w:r>
        <w:rPr>
          <w:sz w:val="18"/>
        </w:rPr>
        <w:t xml:space="preserve"> 202</w:t>
      </w:r>
      <w:r w:rsidR="00D21E02">
        <w:rPr>
          <w:sz w:val="18"/>
        </w:rPr>
        <w:t>5</w:t>
      </w:r>
    </w:p>
    <w:p w14:paraId="114DA578" w14:textId="4A43EDAB" w:rsidR="00E51A06" w:rsidRDefault="001B12A9" w:rsidP="00CC263B">
      <w:r>
        <w:t>In AUD terms, t</w:t>
      </w:r>
      <w:r w:rsidR="009E7EF6">
        <w:t xml:space="preserve">he </w:t>
      </w:r>
      <w:r w:rsidR="008E7965">
        <w:t>global</w:t>
      </w:r>
      <w:r w:rsidR="00BF5596">
        <w:t xml:space="preserve"> </w:t>
      </w:r>
      <w:r w:rsidR="00E101E2">
        <w:t xml:space="preserve">share </w:t>
      </w:r>
      <w:r w:rsidR="009E7EF6">
        <w:t xml:space="preserve">markets posted </w:t>
      </w:r>
      <w:r w:rsidR="005909DA">
        <w:t>one</w:t>
      </w:r>
      <w:r w:rsidR="009E7EF6">
        <w:t xml:space="preserve"> month return of</w:t>
      </w:r>
      <w:r w:rsidR="00BF5596">
        <w:t xml:space="preserve"> </w:t>
      </w:r>
      <w:r w:rsidR="009E7EF6">
        <w:t>(</w:t>
      </w:r>
      <w:r w:rsidR="000751E0">
        <w:t>+5.41</w:t>
      </w:r>
      <w:r w:rsidR="009E7EF6">
        <w:t>%)</w:t>
      </w:r>
      <w:r w:rsidR="00E51A06">
        <w:t>. T</w:t>
      </w:r>
      <w:r w:rsidR="009E7EF6">
        <w:t>he US</w:t>
      </w:r>
      <w:r w:rsidR="00E51A06">
        <w:t xml:space="preserve"> posted </w:t>
      </w:r>
      <w:r w:rsidR="00184AC2">
        <w:t>returns</w:t>
      </w:r>
      <w:r>
        <w:t xml:space="preserve"> </w:t>
      </w:r>
      <w:r w:rsidR="00E51A06">
        <w:t>of</w:t>
      </w:r>
      <w:r w:rsidR="009E7EF6">
        <w:t xml:space="preserve"> (</w:t>
      </w:r>
      <w:r w:rsidR="000751E0">
        <w:t>+5.68</w:t>
      </w:r>
      <w:r w:rsidR="009E7EF6">
        <w:t>%)</w:t>
      </w:r>
      <w:r w:rsidR="00E51A06">
        <w:t xml:space="preserve">, </w:t>
      </w:r>
      <w:r w:rsidR="009E7EF6">
        <w:t>Asia ex Japan (</w:t>
      </w:r>
      <w:r w:rsidR="00EC7016">
        <w:t>+4.52</w:t>
      </w:r>
      <w:r w:rsidR="009E7EF6">
        <w:t>%)</w:t>
      </w:r>
      <w:r w:rsidR="00E51A06">
        <w:t>,</w:t>
      </w:r>
      <w:r w:rsidR="009E7EF6">
        <w:t xml:space="preserve"> Japan (</w:t>
      </w:r>
      <w:r w:rsidR="00334DDF">
        <w:t>+</w:t>
      </w:r>
      <w:r w:rsidR="00EC7016">
        <w:t>3.46</w:t>
      </w:r>
      <w:r w:rsidR="009E7EF6">
        <w:t>%)</w:t>
      </w:r>
      <w:r w:rsidR="00E51A06">
        <w:t>,</w:t>
      </w:r>
      <w:r w:rsidR="009E7EF6">
        <w:t xml:space="preserve"> the UK (</w:t>
      </w:r>
      <w:r w:rsidR="00EC7016">
        <w:t>+3.83</w:t>
      </w:r>
      <w:r w:rsidR="009E7EF6">
        <w:t>%)</w:t>
      </w:r>
      <w:r w:rsidR="00E51A06">
        <w:t>,</w:t>
      </w:r>
      <w:r w:rsidR="009E7EF6">
        <w:t xml:space="preserve"> Europe</w:t>
      </w:r>
      <w:r w:rsidR="00776C10">
        <w:t xml:space="preserve"> </w:t>
      </w:r>
      <w:r w:rsidR="00E51A06">
        <w:t>(</w:t>
      </w:r>
      <w:r w:rsidR="002B74FE">
        <w:t>+</w:t>
      </w:r>
      <w:r w:rsidR="00EC7016">
        <w:t>4.17</w:t>
      </w:r>
      <w:r w:rsidR="005909DA">
        <w:t>%</w:t>
      </w:r>
      <w:r w:rsidR="00E51A06">
        <w:t xml:space="preserve">) </w:t>
      </w:r>
      <w:r w:rsidR="00776C10">
        <w:t>and</w:t>
      </w:r>
      <w:r w:rsidR="009E7EF6">
        <w:t xml:space="preserve"> </w:t>
      </w:r>
      <w:r w:rsidR="00776C10">
        <w:t>the Emerging Markets</w:t>
      </w:r>
      <w:r w:rsidR="00E51A06">
        <w:t xml:space="preserve"> (</w:t>
      </w:r>
      <w:r w:rsidR="00EC7016">
        <w:t>+3.71</w:t>
      </w:r>
      <w:r w:rsidR="005909DA">
        <w:t>%</w:t>
      </w:r>
      <w:r w:rsidR="00E51A06">
        <w:t>)</w:t>
      </w:r>
      <w:r w:rsidR="009E7EF6">
        <w:t xml:space="preserve">. </w:t>
      </w:r>
    </w:p>
    <w:p w14:paraId="5BD2B4D9" w14:textId="5A35E1D4" w:rsidR="00802B2D" w:rsidRPr="002C183C" w:rsidRDefault="00802B2D" w:rsidP="00802B2D">
      <w:pPr>
        <w:rPr>
          <w:b/>
          <w:bCs/>
        </w:rPr>
      </w:pPr>
      <w:r w:rsidRPr="002C183C">
        <w:rPr>
          <w:b/>
          <w:bCs/>
        </w:rPr>
        <w:t>Australian Shares</w:t>
      </w:r>
    </w:p>
    <w:p w14:paraId="43C32AE9" w14:textId="4FDC93A0" w:rsidR="00752610" w:rsidRDefault="00802B2D" w:rsidP="00080677">
      <w:r>
        <w:t xml:space="preserve">Australian </w:t>
      </w:r>
      <w:r w:rsidR="00D019FE">
        <w:t xml:space="preserve">shares </w:t>
      </w:r>
      <w:r w:rsidR="00317447">
        <w:t xml:space="preserve">posted </w:t>
      </w:r>
      <w:r w:rsidR="00EC7016">
        <w:t>strong</w:t>
      </w:r>
      <w:r w:rsidR="009D2BC7">
        <w:t xml:space="preserve"> returns </w:t>
      </w:r>
      <w:r w:rsidR="00DA2BBC">
        <w:t xml:space="preserve">reflecting the </w:t>
      </w:r>
      <w:r w:rsidR="005B45E9">
        <w:t>global</w:t>
      </w:r>
      <w:r w:rsidR="00B755CF">
        <w:t xml:space="preserve"> </w:t>
      </w:r>
      <w:r w:rsidR="00BB456F">
        <w:t>market</w:t>
      </w:r>
      <w:r w:rsidR="00B755CF">
        <w:t xml:space="preserve">s </w:t>
      </w:r>
      <w:r w:rsidR="005B45E9">
        <w:t xml:space="preserve">trend </w:t>
      </w:r>
      <w:r w:rsidR="00EC7016">
        <w:t xml:space="preserve">post the </w:t>
      </w:r>
      <w:r w:rsidR="005B45E9">
        <w:t xml:space="preserve">tariff </w:t>
      </w:r>
      <w:r w:rsidR="002D285D">
        <w:t>impact</w:t>
      </w:r>
      <w:r w:rsidR="005B45E9">
        <w:t xml:space="preserve">. </w:t>
      </w:r>
      <w:r w:rsidR="009D26B6">
        <w:t>Sh</w:t>
      </w:r>
      <w:r w:rsidR="00965252">
        <w:t xml:space="preserve">ares </w:t>
      </w:r>
      <w:r w:rsidR="00EF6467">
        <w:t>finished</w:t>
      </w:r>
      <w:r w:rsidR="009D26B6">
        <w:t xml:space="preserve"> </w:t>
      </w:r>
      <w:r w:rsidR="000E3566">
        <w:t>(</w:t>
      </w:r>
      <w:r w:rsidR="00EC7016">
        <w:t>+4.20</w:t>
      </w:r>
      <w:r w:rsidR="000E3566">
        <w:t>%) for the month</w:t>
      </w:r>
      <w:r w:rsidR="0089710F">
        <w:t xml:space="preserve"> and (</w:t>
      </w:r>
      <w:r w:rsidR="00EC7016">
        <w:t>+4.31</w:t>
      </w:r>
      <w:r w:rsidR="0089710F">
        <w:t>%) over the last three months</w:t>
      </w:r>
      <w:r w:rsidR="00992554">
        <w:t>.</w:t>
      </w:r>
      <w:r w:rsidR="000E3566">
        <w:t xml:space="preserve"> </w:t>
      </w:r>
    </w:p>
    <w:p w14:paraId="41F529C9" w14:textId="0F46FF36" w:rsidR="00AF697A" w:rsidRDefault="0089710F" w:rsidP="00AF697A">
      <w:r>
        <w:t>C</w:t>
      </w:r>
      <w:r w:rsidR="00E05A34">
        <w:t>om</w:t>
      </w:r>
      <w:r w:rsidR="009E7EF6" w:rsidRPr="00F90325">
        <w:t xml:space="preserve">modity markets </w:t>
      </w:r>
      <w:r w:rsidR="00457450">
        <w:t>ended</w:t>
      </w:r>
      <w:r w:rsidR="00E32E30">
        <w:t xml:space="preserve"> </w:t>
      </w:r>
      <w:r w:rsidR="009F0A63">
        <w:t>mixed</w:t>
      </w:r>
      <w:r w:rsidR="00FC5F13">
        <w:t xml:space="preserve"> </w:t>
      </w:r>
      <w:r w:rsidR="0056303E">
        <w:t xml:space="preserve">with </w:t>
      </w:r>
      <w:r w:rsidR="009E7EF6" w:rsidRPr="00F90325">
        <w:t>Iron Ore clos</w:t>
      </w:r>
      <w:r w:rsidR="00040E36">
        <w:t>ing</w:t>
      </w:r>
      <w:r w:rsidR="009E7EF6" w:rsidRPr="00F90325">
        <w:t xml:space="preserve"> at US$</w:t>
      </w:r>
      <w:r w:rsidR="00A85041">
        <w:t>99.</w:t>
      </w:r>
      <w:r w:rsidR="00EC7016">
        <w:t>12</w:t>
      </w:r>
      <w:r w:rsidR="009E7EF6" w:rsidRPr="00F90325">
        <w:t xml:space="preserve"> </w:t>
      </w:r>
      <w:r w:rsidR="006D3802">
        <w:t xml:space="preserve">per tonne </w:t>
      </w:r>
      <w:r w:rsidR="00910A84">
        <w:t xml:space="preserve">at the end of </w:t>
      </w:r>
      <w:r w:rsidR="00EC7016">
        <w:t>May</w:t>
      </w:r>
      <w:r w:rsidR="00AA627D">
        <w:t xml:space="preserve"> 202</w:t>
      </w:r>
      <w:r w:rsidR="00B755CF">
        <w:t>5</w:t>
      </w:r>
      <w:r w:rsidR="00910A84">
        <w:t xml:space="preserve"> </w:t>
      </w:r>
      <w:r w:rsidR="00A85A05" w:rsidRPr="00F90325">
        <w:t xml:space="preserve">with </w:t>
      </w:r>
      <w:r w:rsidR="00910A84">
        <w:t xml:space="preserve">a </w:t>
      </w:r>
      <w:r w:rsidR="00A85A05" w:rsidRPr="00F90325">
        <w:t xml:space="preserve">monthly </w:t>
      </w:r>
      <w:r w:rsidR="002D285D">
        <w:t>loss</w:t>
      </w:r>
      <w:r w:rsidR="00D62349">
        <w:t xml:space="preserve"> </w:t>
      </w:r>
      <w:r w:rsidR="00A3027F">
        <w:t>of</w:t>
      </w:r>
      <w:r w:rsidR="00A85A05" w:rsidRPr="00F90325">
        <w:t xml:space="preserve"> (</w:t>
      </w:r>
      <w:r w:rsidR="002D285D">
        <w:t>-</w:t>
      </w:r>
      <w:r w:rsidR="00EC7016">
        <w:t>0.64</w:t>
      </w:r>
      <w:r w:rsidR="00A85A05" w:rsidRPr="00F90325">
        <w:t xml:space="preserve">%) </w:t>
      </w:r>
      <w:r w:rsidR="00FC5F13">
        <w:t xml:space="preserve">and </w:t>
      </w:r>
      <w:r w:rsidR="002D285D">
        <w:t xml:space="preserve">falls </w:t>
      </w:r>
      <w:r w:rsidR="00C44EA9">
        <w:t xml:space="preserve">of </w:t>
      </w:r>
      <w:r w:rsidR="009E7EF6" w:rsidRPr="00F90325">
        <w:t>(</w:t>
      </w:r>
      <w:r w:rsidR="002D285D">
        <w:t>-</w:t>
      </w:r>
      <w:r w:rsidR="00EC7016">
        <w:t>7.28</w:t>
      </w:r>
      <w:r w:rsidR="00E95AF9">
        <w:t xml:space="preserve">%) </w:t>
      </w:r>
      <w:r w:rsidR="009E7EF6" w:rsidRPr="00F90325">
        <w:t xml:space="preserve">for </w:t>
      </w:r>
      <w:r w:rsidR="0032180A" w:rsidRPr="00F90325">
        <w:t>the previous three months</w:t>
      </w:r>
      <w:r w:rsidR="009E7EF6" w:rsidRPr="00F90325">
        <w:t xml:space="preserve">. </w:t>
      </w:r>
      <w:r w:rsidR="008F7018">
        <w:t>O</w:t>
      </w:r>
      <w:r w:rsidR="008F7018" w:rsidRPr="00F90325">
        <w:t xml:space="preserve">il (WTI) </w:t>
      </w:r>
      <w:r w:rsidR="008F7018">
        <w:t>closed</w:t>
      </w:r>
      <w:r w:rsidR="00E91EC4">
        <w:t xml:space="preserve"> </w:t>
      </w:r>
      <w:r w:rsidR="00EC7016">
        <w:t>high</w:t>
      </w:r>
      <w:r w:rsidR="00A85041">
        <w:t>er</w:t>
      </w:r>
      <w:r w:rsidR="008F7018" w:rsidRPr="00F90325">
        <w:t xml:space="preserve"> at US$</w:t>
      </w:r>
      <w:r w:rsidR="00EC7016">
        <w:t>60.79</w:t>
      </w:r>
      <w:r w:rsidR="008F7018" w:rsidRPr="00F90325">
        <w:t xml:space="preserve"> </w:t>
      </w:r>
      <w:r w:rsidR="008F7018">
        <w:t xml:space="preserve">a barrel </w:t>
      </w:r>
      <w:r w:rsidR="008F7018" w:rsidRPr="00F90325">
        <w:t>at the end o</w:t>
      </w:r>
      <w:r w:rsidR="008F7018">
        <w:t>f</w:t>
      </w:r>
      <w:r w:rsidR="008F7018" w:rsidRPr="00F90325">
        <w:t xml:space="preserve"> </w:t>
      </w:r>
      <w:r w:rsidR="00EC7016">
        <w:t>May</w:t>
      </w:r>
      <w:r w:rsidR="00AA627D">
        <w:t xml:space="preserve"> 202</w:t>
      </w:r>
      <w:r w:rsidR="00B755CF">
        <w:t>5</w:t>
      </w:r>
      <w:r w:rsidR="008F7018" w:rsidRPr="00F90325">
        <w:t xml:space="preserve"> </w:t>
      </w:r>
      <w:r w:rsidR="008F7018">
        <w:t>resulting in</w:t>
      </w:r>
      <w:r w:rsidR="008F7018" w:rsidRPr="00F90325">
        <w:t xml:space="preserve"> </w:t>
      </w:r>
      <w:r w:rsidR="00EC7016">
        <w:t>gains</w:t>
      </w:r>
      <w:r w:rsidR="006C68B8">
        <w:t xml:space="preserve"> of</w:t>
      </w:r>
      <w:r w:rsidR="008F7018" w:rsidRPr="00F90325">
        <w:t xml:space="preserve"> (</w:t>
      </w:r>
      <w:r w:rsidR="00EC7016">
        <w:t>+4.43</w:t>
      </w:r>
      <w:r w:rsidR="00E77097">
        <w:t>%</w:t>
      </w:r>
      <w:r w:rsidR="008F7018" w:rsidRPr="00F90325">
        <w:t xml:space="preserve">) for the month </w:t>
      </w:r>
      <w:r w:rsidR="00107972">
        <w:t xml:space="preserve">and </w:t>
      </w:r>
      <w:r w:rsidR="00B0367E">
        <w:t>down</w:t>
      </w:r>
      <w:r w:rsidR="00F93701">
        <w:t xml:space="preserve"> </w:t>
      </w:r>
      <w:r w:rsidR="008F7018" w:rsidRPr="00F90325">
        <w:t>(</w:t>
      </w:r>
      <w:r w:rsidR="00B0367E">
        <w:t>-</w:t>
      </w:r>
      <w:r w:rsidR="00A85041">
        <w:t>1</w:t>
      </w:r>
      <w:r w:rsidR="00EC7016">
        <w:t>2.86</w:t>
      </w:r>
      <w:r w:rsidR="00DB1554">
        <w:t>%</w:t>
      </w:r>
      <w:r w:rsidR="008F7018" w:rsidRPr="00F90325">
        <w:t xml:space="preserve">) over the </w:t>
      </w:r>
      <w:r w:rsidR="00E65B82">
        <w:t xml:space="preserve">last </w:t>
      </w:r>
      <w:r w:rsidR="008F7018" w:rsidRPr="00F90325">
        <w:t>three months.</w:t>
      </w:r>
      <w:r w:rsidR="008F7018">
        <w:t xml:space="preserve"> China remains our main export market followed by Japan. </w:t>
      </w:r>
    </w:p>
    <w:p w14:paraId="7BC6B594" w14:textId="127F8A9B" w:rsidR="009E7EF6" w:rsidRPr="00AF697A" w:rsidRDefault="009E7EF6" w:rsidP="00AF697A">
      <w:pPr>
        <w:rPr>
          <w:b/>
          <w:bCs/>
          <w:iCs/>
        </w:rPr>
      </w:pPr>
      <w:r w:rsidRPr="00AF697A">
        <w:rPr>
          <w:b/>
          <w:bCs/>
        </w:rPr>
        <w:lastRenderedPageBreak/>
        <w:t>Australian Industry Returns</w:t>
      </w:r>
      <w:r w:rsidRPr="00AF697A">
        <w:rPr>
          <w:b/>
          <w:bCs/>
        </w:rPr>
        <w:tab/>
      </w:r>
    </w:p>
    <w:p w14:paraId="1130FA96" w14:textId="7AA4E2A1" w:rsidR="009E7EF6" w:rsidRDefault="009E7EF6" w:rsidP="009E7EF6">
      <w:pPr>
        <w:spacing w:before="120" w:after="120"/>
      </w:pPr>
      <w:r>
        <w:t xml:space="preserve">Industry sectors </w:t>
      </w:r>
      <w:r w:rsidR="00CF0345">
        <w:t>posted</w:t>
      </w:r>
      <w:r w:rsidR="00436EB4">
        <w:t xml:space="preserve"> </w:t>
      </w:r>
      <w:r w:rsidR="007E548D">
        <w:t>positive</w:t>
      </w:r>
      <w:r w:rsidR="003E66A5">
        <w:t xml:space="preserve"> </w:t>
      </w:r>
      <w:r w:rsidR="00CF0345">
        <w:t xml:space="preserve">results </w:t>
      </w:r>
      <w:r>
        <w:t xml:space="preserve">for </w:t>
      </w:r>
      <w:r w:rsidR="007E548D">
        <w:t>May</w:t>
      </w:r>
      <w:r w:rsidR="00AA627D">
        <w:t xml:space="preserve"> 202</w:t>
      </w:r>
      <w:r w:rsidR="00224632">
        <w:t>5</w:t>
      </w:r>
      <w:r w:rsidR="008855EF">
        <w:t>.</w:t>
      </w:r>
      <w:r w:rsidR="00C460B3">
        <w:t xml:space="preserve"> </w:t>
      </w:r>
      <w:r>
        <w:t xml:space="preserve">The </w:t>
      </w:r>
      <w:r w:rsidR="000B4548">
        <w:t xml:space="preserve">industry sector </w:t>
      </w:r>
      <w:r w:rsidR="00ED23CC">
        <w:t>performance results</w:t>
      </w:r>
      <w:r>
        <w:t xml:space="preserve"> </w:t>
      </w:r>
      <w:r w:rsidR="00A85A05">
        <w:t xml:space="preserve">for the last </w:t>
      </w:r>
      <w:r w:rsidR="00C41573">
        <w:t xml:space="preserve">month </w:t>
      </w:r>
      <w:r>
        <w:t>were</w:t>
      </w:r>
      <w:r w:rsidR="007B7DEB">
        <w:t>:</w:t>
      </w:r>
    </w:p>
    <w:p w14:paraId="1744F24C" w14:textId="2102BE0F" w:rsidR="00AF697A" w:rsidRDefault="007E548D" w:rsidP="00193344">
      <w:pPr>
        <w:spacing w:before="120" w:after="120"/>
        <w:jc w:val="center"/>
      </w:pPr>
      <w:r w:rsidRPr="007E548D">
        <w:rPr>
          <w:noProof/>
        </w:rPr>
        <w:drawing>
          <wp:inline distT="0" distB="0" distL="0" distR="0" wp14:anchorId="50888A8B" wp14:editId="55650F24">
            <wp:extent cx="4019550" cy="3609975"/>
            <wp:effectExtent l="0" t="0" r="0" b="9525"/>
            <wp:docPr id="100930997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19550" cy="3609975"/>
                    </a:xfrm>
                    <a:prstGeom prst="rect">
                      <a:avLst/>
                    </a:prstGeom>
                    <a:noFill/>
                    <a:ln>
                      <a:noFill/>
                    </a:ln>
                  </pic:spPr>
                </pic:pic>
              </a:graphicData>
            </a:graphic>
          </wp:inline>
        </w:drawing>
      </w:r>
    </w:p>
    <w:p w14:paraId="70580A2B" w14:textId="26E08DF2" w:rsidR="00193344" w:rsidRPr="00BE778B" w:rsidRDefault="00193344" w:rsidP="00193344">
      <w:pPr>
        <w:jc w:val="center"/>
        <w:rPr>
          <w:sz w:val="18"/>
        </w:rPr>
      </w:pPr>
      <w:r w:rsidRPr="00A70A09">
        <w:rPr>
          <w:sz w:val="18"/>
        </w:rPr>
        <w:t>Source data: Lonsec as of</w:t>
      </w:r>
      <w:r>
        <w:rPr>
          <w:sz w:val="18"/>
        </w:rPr>
        <w:t xml:space="preserve"> </w:t>
      </w:r>
      <w:r w:rsidR="007E548D">
        <w:rPr>
          <w:sz w:val="18"/>
        </w:rPr>
        <w:t>31</w:t>
      </w:r>
      <w:r w:rsidR="007E548D" w:rsidRPr="007E548D">
        <w:rPr>
          <w:sz w:val="18"/>
          <w:vertAlign w:val="superscript"/>
        </w:rPr>
        <w:t>st</w:t>
      </w:r>
      <w:r w:rsidR="007E548D">
        <w:rPr>
          <w:sz w:val="18"/>
        </w:rPr>
        <w:t xml:space="preserve"> May</w:t>
      </w:r>
      <w:r>
        <w:rPr>
          <w:sz w:val="18"/>
        </w:rPr>
        <w:t xml:space="preserve"> 202</w:t>
      </w:r>
      <w:r w:rsidR="00224632">
        <w:rPr>
          <w:sz w:val="18"/>
        </w:rPr>
        <w:t>5</w:t>
      </w:r>
    </w:p>
    <w:p w14:paraId="58FD09A7" w14:textId="74F64725" w:rsidR="009E7EF6" w:rsidRDefault="003F6017" w:rsidP="009E7EF6">
      <w:pPr>
        <w:spacing w:before="120" w:after="120"/>
      </w:pPr>
      <w:r>
        <w:t xml:space="preserve">Information Technology </w:t>
      </w:r>
      <w:r w:rsidR="004C4389">
        <w:rPr>
          <w:noProof/>
        </w:rPr>
        <w:t>was</w:t>
      </w:r>
      <w:r w:rsidR="00AF697A">
        <w:rPr>
          <w:noProof/>
        </w:rPr>
        <w:t xml:space="preserve"> the </w:t>
      </w:r>
      <w:r w:rsidR="001A3D53">
        <w:t>best</w:t>
      </w:r>
      <w:r w:rsidR="00A94C92">
        <w:t xml:space="preserve"> </w:t>
      </w:r>
      <w:r w:rsidR="00BF751B">
        <w:t xml:space="preserve">performing sector </w:t>
      </w:r>
      <w:r w:rsidR="00A94C92">
        <w:t>posting</w:t>
      </w:r>
      <w:r w:rsidR="002720B5">
        <w:t xml:space="preserve"> </w:t>
      </w:r>
      <w:r w:rsidR="00D46064">
        <w:t>gains</w:t>
      </w:r>
      <w:r w:rsidR="00736488">
        <w:t xml:space="preserve"> of </w:t>
      </w:r>
      <w:r w:rsidR="009E7EF6">
        <w:t>(</w:t>
      </w:r>
      <w:r w:rsidR="00D46064">
        <w:t>+</w:t>
      </w:r>
      <w:r w:rsidR="007E548D">
        <w:t>19.83</w:t>
      </w:r>
      <w:r w:rsidR="009E7EF6">
        <w:t>%)</w:t>
      </w:r>
      <w:r w:rsidR="00757323">
        <w:t>.</w:t>
      </w:r>
    </w:p>
    <w:p w14:paraId="1BD9D657" w14:textId="465C5918" w:rsidR="00BF751B" w:rsidRDefault="007E548D" w:rsidP="00BF751B">
      <w:pPr>
        <w:spacing w:before="120" w:after="120"/>
      </w:pPr>
      <w:r>
        <w:t>Utilities</w:t>
      </w:r>
      <w:r w:rsidR="003F6017">
        <w:t xml:space="preserve"> w</w:t>
      </w:r>
      <w:r>
        <w:t>ere</w:t>
      </w:r>
      <w:r w:rsidR="00C041DA">
        <w:t xml:space="preserve"> the </w:t>
      </w:r>
      <w:r w:rsidR="006D5106">
        <w:t xml:space="preserve">worst performing sector </w:t>
      </w:r>
      <w:r w:rsidR="00B700A9">
        <w:t>finishing</w:t>
      </w:r>
      <w:r w:rsidR="0058757B">
        <w:t xml:space="preserve"> </w:t>
      </w:r>
      <w:r w:rsidR="00BF751B">
        <w:t>(</w:t>
      </w:r>
      <w:r>
        <w:t>+0.31</w:t>
      </w:r>
      <w:r w:rsidR="00BF751B">
        <w:t>%</w:t>
      </w:r>
      <w:r w:rsidR="004A252E">
        <w:t>)</w:t>
      </w:r>
      <w:r w:rsidR="00EE6DB0">
        <w:t xml:space="preserve"> for the month</w:t>
      </w:r>
      <w:r w:rsidR="00EF3062">
        <w:t xml:space="preserve">. </w:t>
      </w:r>
    </w:p>
    <w:p w14:paraId="42C2F3D2" w14:textId="77777777" w:rsidR="00F73A24" w:rsidRDefault="00F73A24" w:rsidP="00BF751B">
      <w:pPr>
        <w:spacing w:before="120" w:after="120"/>
      </w:pPr>
    </w:p>
    <w:p w14:paraId="4972E063" w14:textId="77777777" w:rsidR="00F73A24" w:rsidRDefault="00F73A24" w:rsidP="00BF751B">
      <w:pPr>
        <w:spacing w:before="120" w:after="120"/>
      </w:pPr>
    </w:p>
    <w:p w14:paraId="1B7662B1" w14:textId="77777777" w:rsidR="007E548D" w:rsidRDefault="007E548D" w:rsidP="00BF751B">
      <w:pPr>
        <w:spacing w:before="120" w:after="120"/>
      </w:pPr>
    </w:p>
    <w:p w14:paraId="1851BF73" w14:textId="77777777" w:rsidR="007E548D" w:rsidRDefault="007E548D" w:rsidP="00BF751B">
      <w:pPr>
        <w:spacing w:before="120" w:after="120"/>
      </w:pPr>
    </w:p>
    <w:p w14:paraId="59157F9F" w14:textId="77777777" w:rsidR="007E548D" w:rsidRDefault="007E548D" w:rsidP="00BF751B">
      <w:pPr>
        <w:spacing w:before="120" w:after="120"/>
      </w:pPr>
    </w:p>
    <w:p w14:paraId="7C3B44EE" w14:textId="77777777" w:rsidR="007E548D" w:rsidRDefault="007E548D" w:rsidP="00BF751B">
      <w:pPr>
        <w:spacing w:before="120" w:after="120"/>
      </w:pPr>
    </w:p>
    <w:p w14:paraId="3D8D08EA" w14:textId="77777777" w:rsidR="007E548D" w:rsidRDefault="007E548D" w:rsidP="00BF751B">
      <w:pPr>
        <w:spacing w:before="120" w:after="120"/>
      </w:pPr>
    </w:p>
    <w:p w14:paraId="03D7B64B" w14:textId="77777777" w:rsidR="007E548D" w:rsidRDefault="007E548D" w:rsidP="00BF751B">
      <w:pPr>
        <w:spacing w:before="120" w:after="120"/>
      </w:pPr>
    </w:p>
    <w:p w14:paraId="5A4ACED6" w14:textId="4C158673" w:rsidR="00F73A24" w:rsidRPr="00F73A24" w:rsidRDefault="00F73A24" w:rsidP="00BF751B">
      <w:pPr>
        <w:spacing w:before="120" w:after="120"/>
        <w:rPr>
          <w:b/>
          <w:bCs/>
        </w:rPr>
      </w:pPr>
      <w:r w:rsidRPr="00F73A24">
        <w:rPr>
          <w:b/>
          <w:bCs/>
        </w:rPr>
        <w:lastRenderedPageBreak/>
        <w:t>Australian Shares - Sector Returns</w:t>
      </w:r>
    </w:p>
    <w:p w14:paraId="6051FE95" w14:textId="3A3931EB" w:rsidR="006C68B8" w:rsidRDefault="007E548D" w:rsidP="001F41D2">
      <w:pPr>
        <w:spacing w:before="120" w:after="120"/>
        <w:jc w:val="center"/>
      </w:pPr>
      <w:r w:rsidRPr="007E548D">
        <w:rPr>
          <w:noProof/>
        </w:rPr>
        <w:drawing>
          <wp:inline distT="0" distB="0" distL="0" distR="0" wp14:anchorId="3F5EB8EC" wp14:editId="6155F8DD">
            <wp:extent cx="4219575" cy="2609850"/>
            <wp:effectExtent l="0" t="0" r="9525" b="0"/>
            <wp:docPr id="124673383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219575" cy="2609850"/>
                    </a:xfrm>
                    <a:prstGeom prst="rect">
                      <a:avLst/>
                    </a:prstGeom>
                    <a:noFill/>
                    <a:ln>
                      <a:noFill/>
                    </a:ln>
                  </pic:spPr>
                </pic:pic>
              </a:graphicData>
            </a:graphic>
          </wp:inline>
        </w:drawing>
      </w:r>
    </w:p>
    <w:p w14:paraId="7EE381D5" w14:textId="41C6784C" w:rsidR="009E7EF6" w:rsidRDefault="006C68B8" w:rsidP="009E7EF6">
      <w:pPr>
        <w:jc w:val="center"/>
        <w:rPr>
          <w:sz w:val="18"/>
        </w:rPr>
      </w:pPr>
      <w:r>
        <w:rPr>
          <w:sz w:val="18"/>
        </w:rPr>
        <w:t>S</w:t>
      </w:r>
      <w:r w:rsidR="009E7EF6" w:rsidRPr="00A70A09">
        <w:rPr>
          <w:sz w:val="18"/>
        </w:rPr>
        <w:t xml:space="preserve">ource data: Lonsec as </w:t>
      </w:r>
      <w:r w:rsidR="0023164B" w:rsidRPr="00A70A09">
        <w:rPr>
          <w:sz w:val="18"/>
        </w:rPr>
        <w:t>of</w:t>
      </w:r>
      <w:r w:rsidR="009E7EF6" w:rsidRPr="00A70A09">
        <w:rPr>
          <w:sz w:val="18"/>
        </w:rPr>
        <w:t xml:space="preserve"> </w:t>
      </w:r>
      <w:r w:rsidR="00DD2467">
        <w:rPr>
          <w:sz w:val="18"/>
        </w:rPr>
        <w:t>3</w:t>
      </w:r>
      <w:r w:rsidR="00573661">
        <w:rPr>
          <w:sz w:val="18"/>
        </w:rPr>
        <w:t>1</w:t>
      </w:r>
      <w:r w:rsidR="00573661" w:rsidRPr="00573661">
        <w:rPr>
          <w:sz w:val="18"/>
          <w:vertAlign w:val="superscript"/>
        </w:rPr>
        <w:t>st</w:t>
      </w:r>
      <w:r w:rsidR="00573661">
        <w:rPr>
          <w:sz w:val="18"/>
        </w:rPr>
        <w:t xml:space="preserve"> May</w:t>
      </w:r>
      <w:r w:rsidR="001D48CC">
        <w:rPr>
          <w:sz w:val="18"/>
        </w:rPr>
        <w:t>l</w:t>
      </w:r>
      <w:r w:rsidR="007D590D">
        <w:rPr>
          <w:sz w:val="18"/>
        </w:rPr>
        <w:t xml:space="preserve"> 2</w:t>
      </w:r>
      <w:r w:rsidR="00AA627D">
        <w:rPr>
          <w:sz w:val="18"/>
        </w:rPr>
        <w:t>02</w:t>
      </w:r>
      <w:r w:rsidR="004A6010">
        <w:rPr>
          <w:sz w:val="18"/>
        </w:rPr>
        <w:t>5</w:t>
      </w:r>
    </w:p>
    <w:p w14:paraId="78F8BC4A" w14:textId="77777777" w:rsidR="009E7EF6" w:rsidRPr="002C183C" w:rsidRDefault="009E7EF6" w:rsidP="009E7EF6">
      <w:pPr>
        <w:pStyle w:val="Heading2"/>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Debt Market Returns</w:t>
      </w:r>
    </w:p>
    <w:p w14:paraId="26CC03CE" w14:textId="6346A3B6" w:rsidR="00585652" w:rsidRDefault="006B03BA" w:rsidP="009E7EF6">
      <w:pPr>
        <w:spacing w:before="120" w:after="120"/>
      </w:pPr>
      <w:r>
        <w:t xml:space="preserve">Australian </w:t>
      </w:r>
      <w:r w:rsidR="009E7EF6">
        <w:t xml:space="preserve">Bonds and Fixed Interest markets </w:t>
      </w:r>
      <w:r w:rsidR="00F43A7D">
        <w:t>finished</w:t>
      </w:r>
      <w:r w:rsidR="00C175CC">
        <w:t xml:space="preserve"> </w:t>
      </w:r>
      <w:r>
        <w:t>higher</w:t>
      </w:r>
      <w:r w:rsidR="00573661">
        <w:t xml:space="preserve"> </w:t>
      </w:r>
      <w:r w:rsidR="00A52972">
        <w:t xml:space="preserve">as </w:t>
      </w:r>
      <w:r w:rsidR="008E3CF5">
        <w:t xml:space="preserve">global bond </w:t>
      </w:r>
      <w:r w:rsidR="00C175CC">
        <w:t>pr</w:t>
      </w:r>
      <w:r w:rsidR="002710BC">
        <w:t>ice</w:t>
      </w:r>
      <w:r w:rsidR="00A52972">
        <w:t xml:space="preserve">s </w:t>
      </w:r>
      <w:r w:rsidR="00680BB2">
        <w:t xml:space="preserve">pushed </w:t>
      </w:r>
      <w:r w:rsidR="00573661">
        <w:t>lower</w:t>
      </w:r>
      <w:r w:rsidR="002710BC">
        <w:t xml:space="preserve"> (</w:t>
      </w:r>
      <w:r w:rsidR="00573661">
        <w:t>up</w:t>
      </w:r>
      <w:r w:rsidR="00072B77">
        <w:t xml:space="preserve"> </w:t>
      </w:r>
      <w:r w:rsidR="003C26EF">
        <w:t xml:space="preserve">in </w:t>
      </w:r>
      <w:r w:rsidR="002710BC">
        <w:t xml:space="preserve">yield) </w:t>
      </w:r>
      <w:r w:rsidR="001D48CC">
        <w:t>after a volatile month</w:t>
      </w:r>
      <w:r>
        <w:t xml:space="preserve"> which saw highs of </w:t>
      </w:r>
      <w:r w:rsidR="001D48CC">
        <w:t xml:space="preserve">. </w:t>
      </w:r>
      <w:r w:rsidR="002E3192">
        <w:t xml:space="preserve">Australian </w:t>
      </w:r>
      <w:r w:rsidR="00A02F18">
        <w:t xml:space="preserve">bonds </w:t>
      </w:r>
      <w:r w:rsidR="001D48CC">
        <w:t>remain nervous after</w:t>
      </w:r>
      <w:r w:rsidR="005E4197">
        <w:t xml:space="preserve"> </w:t>
      </w:r>
      <w:r w:rsidR="002E3192">
        <w:t>the</w:t>
      </w:r>
      <w:r w:rsidR="00656179">
        <w:t xml:space="preserve"> initial</w:t>
      </w:r>
      <w:r w:rsidR="00B743B6">
        <w:t xml:space="preserve"> US </w:t>
      </w:r>
      <w:r w:rsidR="00656179">
        <w:t>tariff</w:t>
      </w:r>
      <w:r w:rsidR="00B743B6">
        <w:t xml:space="preserve"> </w:t>
      </w:r>
      <w:r w:rsidR="002E3192">
        <w:t xml:space="preserve">sell-off </w:t>
      </w:r>
      <w:r w:rsidR="00EA7294">
        <w:t>with</w:t>
      </w:r>
      <w:r w:rsidR="00B743B6">
        <w:t xml:space="preserve"> the </w:t>
      </w:r>
      <w:r w:rsidR="00585652">
        <w:t>short-dated</w:t>
      </w:r>
      <w:r w:rsidR="001C4340">
        <w:t xml:space="preserve"> </w:t>
      </w:r>
      <w:r w:rsidR="0022166E">
        <w:t xml:space="preserve"> </w:t>
      </w:r>
      <w:r w:rsidR="00A52972">
        <w:t>2</w:t>
      </w:r>
      <w:r w:rsidR="008D78CF">
        <w:t>-year</w:t>
      </w:r>
      <w:r w:rsidR="00503D92">
        <w:t xml:space="preserve"> </w:t>
      </w:r>
      <w:r w:rsidR="0020369D">
        <w:t xml:space="preserve">Government bonds </w:t>
      </w:r>
      <w:r w:rsidR="00D072D3">
        <w:t xml:space="preserve">trading at </w:t>
      </w:r>
      <w:r w:rsidR="00B743B6" w:rsidRPr="00CD2F82">
        <w:rPr>
          <w:b/>
          <w:bCs/>
        </w:rPr>
        <w:t>3.</w:t>
      </w:r>
      <w:r>
        <w:rPr>
          <w:b/>
          <w:bCs/>
        </w:rPr>
        <w:t>31</w:t>
      </w:r>
      <w:r w:rsidR="0020369D" w:rsidRPr="00B743B6">
        <w:rPr>
          <w:b/>
          <w:bCs/>
        </w:rPr>
        <w:t xml:space="preserve">% </w:t>
      </w:r>
      <w:r w:rsidR="00C23855">
        <w:t xml:space="preserve">on the </w:t>
      </w:r>
      <w:r w:rsidR="00072B77">
        <w:t>1</w:t>
      </w:r>
      <w:r>
        <w:t>7</w:t>
      </w:r>
      <w:r w:rsidR="00072B77" w:rsidRPr="00072B77">
        <w:rPr>
          <w:vertAlign w:val="superscript"/>
        </w:rPr>
        <w:t>th of</w:t>
      </w:r>
      <w:r w:rsidR="00072B77">
        <w:t xml:space="preserve"> </w:t>
      </w:r>
      <w:r>
        <w:t>June</w:t>
      </w:r>
      <w:r w:rsidR="00C23855">
        <w:t xml:space="preserve"> 202</w:t>
      </w:r>
      <w:r w:rsidR="00072B77">
        <w:t>5</w:t>
      </w:r>
      <w:r w:rsidR="00C23855">
        <w:t xml:space="preserve"> </w:t>
      </w:r>
      <w:r w:rsidR="0022166E">
        <w:t xml:space="preserve">and longer dated </w:t>
      </w:r>
      <w:r w:rsidR="00503D92">
        <w:t>10</w:t>
      </w:r>
      <w:r w:rsidR="008D78CF">
        <w:t>-</w:t>
      </w:r>
      <w:r w:rsidR="00503D92">
        <w:t xml:space="preserve">year </w:t>
      </w:r>
      <w:r w:rsidR="001C4340">
        <w:t xml:space="preserve">bonds </w:t>
      </w:r>
      <w:r w:rsidR="00D072D3">
        <w:t>trading</w:t>
      </w:r>
      <w:r w:rsidR="00AD47B6">
        <w:t xml:space="preserve"> at </w:t>
      </w:r>
      <w:r w:rsidR="00CE0DD6">
        <w:rPr>
          <w:b/>
          <w:bCs/>
        </w:rPr>
        <w:t>4</w:t>
      </w:r>
      <w:r w:rsidR="00B743B6">
        <w:rPr>
          <w:b/>
          <w:bCs/>
        </w:rPr>
        <w:t>.</w:t>
      </w:r>
      <w:r>
        <w:rPr>
          <w:b/>
          <w:bCs/>
        </w:rPr>
        <w:t>25</w:t>
      </w:r>
      <w:r w:rsidR="00526D92" w:rsidRPr="008229BA">
        <w:rPr>
          <w:b/>
          <w:bCs/>
        </w:rPr>
        <w:t>%</w:t>
      </w:r>
      <w:r w:rsidR="00867FD2" w:rsidRPr="008229BA">
        <w:rPr>
          <w:b/>
          <w:bCs/>
        </w:rPr>
        <w:t>.</w:t>
      </w:r>
      <w:r w:rsidR="00712A94">
        <w:t xml:space="preserve"> </w:t>
      </w:r>
    </w:p>
    <w:p w14:paraId="3C549984" w14:textId="3D0F2A31" w:rsidR="00894706" w:rsidRDefault="00ED23CC" w:rsidP="009E7EF6">
      <w:pPr>
        <w:spacing w:before="120" w:after="120"/>
      </w:pPr>
      <w:r>
        <w:t>Global Bonds</w:t>
      </w:r>
      <w:r w:rsidR="00DF7915">
        <w:t xml:space="preserve"> returns</w:t>
      </w:r>
      <w:r>
        <w:t xml:space="preserve"> </w:t>
      </w:r>
      <w:r w:rsidR="00C51753">
        <w:t xml:space="preserve">ended </w:t>
      </w:r>
      <w:r w:rsidR="00DF7915">
        <w:t>lower</w:t>
      </w:r>
      <w:r w:rsidR="00BE2C9A">
        <w:t xml:space="preserve"> </w:t>
      </w:r>
      <w:r>
        <w:t>(</w:t>
      </w:r>
      <w:r w:rsidR="00DF7915">
        <w:t>-0.60</w:t>
      </w:r>
      <w:r w:rsidR="00867FD2">
        <w:t>%</w:t>
      </w:r>
      <w:r>
        <w:t>) and Australia</w:t>
      </w:r>
      <w:r w:rsidR="00037BFE">
        <w:t>n Bonds</w:t>
      </w:r>
      <w:r>
        <w:t xml:space="preserve"> end</w:t>
      </w:r>
      <w:r w:rsidR="002720B5">
        <w:t>ed</w:t>
      </w:r>
      <w:r>
        <w:t xml:space="preserve"> </w:t>
      </w:r>
      <w:r w:rsidR="00DF7915">
        <w:t>up</w:t>
      </w:r>
      <w:r w:rsidR="00867FD2">
        <w:t xml:space="preserve"> </w:t>
      </w:r>
      <w:r>
        <w:t>(</w:t>
      </w:r>
      <w:r w:rsidR="00072B77">
        <w:t>+</w:t>
      </w:r>
      <w:r w:rsidR="00DF7915">
        <w:t>0.16</w:t>
      </w:r>
      <w:r w:rsidR="00A94C92">
        <w:t>%</w:t>
      </w:r>
      <w:r>
        <w:t>) for the month</w:t>
      </w:r>
      <w:r w:rsidR="00B6686A">
        <w:t xml:space="preserve"> of </w:t>
      </w:r>
      <w:r w:rsidR="00DF7915">
        <w:t>May</w:t>
      </w:r>
      <w:r w:rsidR="002F59EA">
        <w:t xml:space="preserve"> </w:t>
      </w:r>
      <w:r w:rsidR="00AA627D">
        <w:t>202</w:t>
      </w:r>
      <w:r w:rsidR="004A6010">
        <w:t>5</w:t>
      </w:r>
      <w:r w:rsidR="0049196F">
        <w:t xml:space="preserve"> </w:t>
      </w:r>
      <w:r w:rsidR="00037BFE">
        <w:t>and</w:t>
      </w:r>
      <w:r w:rsidR="0049196F">
        <w:t xml:space="preserve"> </w:t>
      </w:r>
      <w:r w:rsidR="004A6010">
        <w:t>up</w:t>
      </w:r>
      <w:r w:rsidR="00763854">
        <w:t xml:space="preserve"> </w:t>
      </w:r>
      <w:r w:rsidR="0049196F">
        <w:t>(</w:t>
      </w:r>
      <w:r w:rsidR="004A6010">
        <w:t>+</w:t>
      </w:r>
      <w:r w:rsidR="00DF7915">
        <w:t>0.01</w:t>
      </w:r>
      <w:r w:rsidR="0058031F">
        <w:t>%</w:t>
      </w:r>
      <w:r w:rsidR="0049196F">
        <w:t>) and</w:t>
      </w:r>
      <w:r w:rsidR="00AB090A">
        <w:t xml:space="preserve"> </w:t>
      </w:r>
      <w:r w:rsidR="0049196F">
        <w:t>(</w:t>
      </w:r>
      <w:r w:rsidR="004A6010">
        <w:t>+</w:t>
      </w:r>
      <w:r w:rsidR="00DF7915">
        <w:t>2.59</w:t>
      </w:r>
      <w:r w:rsidR="0049196F">
        <w:t xml:space="preserve">%) respectively for the </w:t>
      </w:r>
      <w:r w:rsidR="00B6686A">
        <w:t xml:space="preserve">previous three </w:t>
      </w:r>
      <w:r w:rsidR="0049196F">
        <w:t>month</w:t>
      </w:r>
      <w:r w:rsidR="00B6686A">
        <w:t>s</w:t>
      </w:r>
      <w:r w:rsidR="0049196F">
        <w:t>.</w:t>
      </w:r>
      <w:r w:rsidR="009E7EF6">
        <w:t xml:space="preserve"> </w:t>
      </w:r>
    </w:p>
    <w:p w14:paraId="524CE830" w14:textId="34B455A9" w:rsidR="003E3E67" w:rsidRPr="007E048D" w:rsidRDefault="000B03C8" w:rsidP="00EA7294">
      <w:pPr>
        <w:spacing w:before="120" w:after="120"/>
        <w:rPr>
          <w:rFonts w:ascii="Calibri" w:hAnsi="Calibri" w:cs="Calibri"/>
          <w:i/>
          <w:iCs/>
          <w:color w:val="222222"/>
          <w:shd w:val="clear" w:color="auto" w:fill="FFFFFF"/>
        </w:rPr>
      </w:pPr>
      <w:r>
        <w:t xml:space="preserve">The RBA </w:t>
      </w:r>
      <w:r w:rsidR="00EA7294">
        <w:t xml:space="preserve">maintained </w:t>
      </w:r>
      <w:r w:rsidR="00892EB2">
        <w:t xml:space="preserve">the </w:t>
      </w:r>
      <w:r w:rsidRPr="00EA7294">
        <w:rPr>
          <w:color w:val="auto"/>
        </w:rPr>
        <w:t xml:space="preserve">target cash rate </w:t>
      </w:r>
      <w:r w:rsidR="00EA7294">
        <w:rPr>
          <w:color w:val="auto"/>
        </w:rPr>
        <w:t>at</w:t>
      </w:r>
      <w:r w:rsidR="00892EB2" w:rsidRPr="00EA7294">
        <w:rPr>
          <w:color w:val="auto"/>
        </w:rPr>
        <w:t xml:space="preserve"> </w:t>
      </w:r>
      <w:r w:rsidR="00DF7915">
        <w:rPr>
          <w:color w:val="auto"/>
        </w:rPr>
        <w:t>3.85</w:t>
      </w:r>
      <w:r w:rsidRPr="00EA7294">
        <w:rPr>
          <w:color w:val="auto"/>
        </w:rPr>
        <w:t xml:space="preserve">% </w:t>
      </w:r>
      <w:r w:rsidR="006C7AED">
        <w:t>follow</w:t>
      </w:r>
      <w:r>
        <w:t xml:space="preserve">ing the </w:t>
      </w:r>
      <w:r w:rsidR="00DF7915">
        <w:t>20</w:t>
      </w:r>
      <w:r w:rsidR="00DF7915" w:rsidRPr="00DF7915">
        <w:rPr>
          <w:vertAlign w:val="superscript"/>
        </w:rPr>
        <w:t>th of</w:t>
      </w:r>
      <w:r w:rsidR="00DF7915">
        <w:t xml:space="preserve"> May </w:t>
      </w:r>
      <w:r w:rsidR="00781A24">
        <w:t>202</w:t>
      </w:r>
      <w:r w:rsidR="001257FA">
        <w:t>5</w:t>
      </w:r>
      <w:r w:rsidR="00781A24">
        <w:t xml:space="preserve"> </w:t>
      </w:r>
      <w:r>
        <w:t xml:space="preserve">board </w:t>
      </w:r>
      <w:r w:rsidR="00AB090A">
        <w:t>meeting</w:t>
      </w:r>
      <w:r w:rsidR="00DE11E9">
        <w:t>.</w:t>
      </w:r>
      <w:r w:rsidR="00DE11E9" w:rsidRPr="000D3366">
        <w:rPr>
          <w:noProof/>
        </w:rPr>
        <w:t xml:space="preserve"> </w:t>
      </w:r>
    </w:p>
    <w:p w14:paraId="593CB94C" w14:textId="1C6D4AEB" w:rsidR="007A5EA0" w:rsidRDefault="007A5EA0" w:rsidP="000D3366">
      <w:pPr>
        <w:spacing w:before="120" w:after="120"/>
      </w:pPr>
      <w:bookmarkStart w:id="2" w:name="_Hlk198287480"/>
      <w:r w:rsidRPr="007A5EA0">
        <w:t>The US 10-year Government bonds closed at (</w:t>
      </w:r>
      <w:r w:rsidR="00D70708" w:rsidRPr="00107D5C">
        <w:rPr>
          <w:b/>
          <w:bCs/>
        </w:rPr>
        <w:t>4.</w:t>
      </w:r>
      <w:r w:rsidR="00DF7915">
        <w:rPr>
          <w:b/>
          <w:bCs/>
        </w:rPr>
        <w:t>39</w:t>
      </w:r>
      <w:r w:rsidR="00A27D42">
        <w:rPr>
          <w:b/>
          <w:bCs/>
        </w:rPr>
        <w:t>7</w:t>
      </w:r>
      <w:r w:rsidRPr="00107D5C">
        <w:rPr>
          <w:b/>
          <w:bCs/>
        </w:rPr>
        <w:t>%</w:t>
      </w:r>
      <w:r w:rsidRPr="007A5EA0">
        <w:t xml:space="preserve">) for the </w:t>
      </w:r>
      <w:r w:rsidR="00C175CC">
        <w:t>month</w:t>
      </w:r>
      <w:r w:rsidRPr="007A5EA0">
        <w:t xml:space="preserve"> </w:t>
      </w:r>
      <w:r w:rsidR="00DF7915">
        <w:t>up</w:t>
      </w:r>
      <w:r w:rsidRPr="007A5EA0">
        <w:t xml:space="preserve"> in yield (</w:t>
      </w:r>
      <w:r w:rsidR="00DF7915">
        <w:t>+0.23</w:t>
      </w:r>
      <w:r w:rsidRPr="007A5EA0">
        <w:t xml:space="preserve">%) from the previous </w:t>
      </w:r>
      <w:r>
        <w:t>month</w:t>
      </w:r>
      <w:r w:rsidRPr="007A5EA0">
        <w:t xml:space="preserve"> close of </w:t>
      </w:r>
      <w:r w:rsidR="002F043F">
        <w:t>(</w:t>
      </w:r>
      <w:r w:rsidR="00DB63F1">
        <w:t>4.</w:t>
      </w:r>
      <w:r w:rsidR="00DF7915">
        <w:t>167</w:t>
      </w:r>
      <w:r w:rsidRPr="007A5EA0">
        <w:t xml:space="preserve">%). </w:t>
      </w:r>
    </w:p>
    <w:bookmarkEnd w:id="2"/>
    <w:p w14:paraId="5700F3F2" w14:textId="73DA42DA" w:rsidR="000D3366" w:rsidRDefault="00506ACC" w:rsidP="007A5EA0">
      <w:pPr>
        <w:spacing w:before="120" w:after="120" w:line="240" w:lineRule="auto"/>
      </w:pPr>
      <w:r w:rsidRPr="00506ACC">
        <w:rPr>
          <w:noProof/>
        </w:rPr>
        <w:lastRenderedPageBreak/>
        <w:drawing>
          <wp:inline distT="0" distB="0" distL="0" distR="0" wp14:anchorId="56CB8E42" wp14:editId="782C27A9">
            <wp:extent cx="2686050" cy="2294462"/>
            <wp:effectExtent l="0" t="0" r="0" b="0"/>
            <wp:docPr id="5972726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95105" cy="2302197"/>
                    </a:xfrm>
                    <a:prstGeom prst="rect">
                      <a:avLst/>
                    </a:prstGeom>
                    <a:noFill/>
                    <a:ln>
                      <a:noFill/>
                    </a:ln>
                  </pic:spPr>
                </pic:pic>
              </a:graphicData>
            </a:graphic>
          </wp:inline>
        </w:drawing>
      </w:r>
      <w:r w:rsidRPr="00506ACC">
        <w:rPr>
          <w:noProof/>
        </w:rPr>
        <w:drawing>
          <wp:inline distT="0" distB="0" distL="0" distR="0" wp14:anchorId="611DB8A2" wp14:editId="2786F5C0">
            <wp:extent cx="2689706" cy="2266950"/>
            <wp:effectExtent l="0" t="0" r="0" b="0"/>
            <wp:docPr id="34150844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694429" cy="2270931"/>
                    </a:xfrm>
                    <a:prstGeom prst="rect">
                      <a:avLst/>
                    </a:prstGeom>
                    <a:noFill/>
                    <a:ln>
                      <a:noFill/>
                    </a:ln>
                  </pic:spPr>
                </pic:pic>
              </a:graphicData>
            </a:graphic>
          </wp:inline>
        </w:drawing>
      </w:r>
    </w:p>
    <w:p w14:paraId="7B169699" w14:textId="1A59EF6D" w:rsidR="007A5EA0" w:rsidRPr="00D341D7" w:rsidRDefault="007A5EA0" w:rsidP="007A5EA0">
      <w:pPr>
        <w:spacing w:before="120" w:after="120" w:line="240" w:lineRule="auto"/>
      </w:pPr>
      <w:bookmarkStart w:id="3" w:name="_Hlk198287508"/>
      <w:r w:rsidRPr="00D341D7">
        <w:t xml:space="preserve">The Australian Government 10-year bonds finished </w:t>
      </w:r>
      <w:r w:rsidR="006C5F1B">
        <w:t>higher</w:t>
      </w:r>
      <w:r w:rsidRPr="00D341D7">
        <w:t xml:space="preserve"> in yield in</w:t>
      </w:r>
      <w:r w:rsidR="00767F50">
        <w:t xml:space="preserve"> </w:t>
      </w:r>
      <w:r w:rsidR="00506ACC">
        <w:t>May</w:t>
      </w:r>
      <w:r w:rsidRPr="00D341D7">
        <w:t xml:space="preserve"> 202</w:t>
      </w:r>
      <w:r w:rsidR="004A6010">
        <w:t>5</w:t>
      </w:r>
      <w:r w:rsidRPr="00D341D7">
        <w:t xml:space="preserve"> at (</w:t>
      </w:r>
      <w:r w:rsidR="00D70708" w:rsidRPr="00107D5C">
        <w:rPr>
          <w:b/>
          <w:bCs/>
        </w:rPr>
        <w:t>4.</w:t>
      </w:r>
      <w:r w:rsidR="006C5F1B">
        <w:rPr>
          <w:b/>
          <w:bCs/>
        </w:rPr>
        <w:t>294</w:t>
      </w:r>
      <w:r w:rsidRPr="00107D5C">
        <w:rPr>
          <w:b/>
          <w:bCs/>
        </w:rPr>
        <w:t>%</w:t>
      </w:r>
      <w:r w:rsidRPr="00D341D7">
        <w:t xml:space="preserve">) </w:t>
      </w:r>
      <w:r w:rsidR="006C5F1B">
        <w:t>up</w:t>
      </w:r>
      <w:r w:rsidR="00702885">
        <w:t xml:space="preserve"> </w:t>
      </w:r>
      <w:r w:rsidR="00C175CC">
        <w:t xml:space="preserve">in yield </w:t>
      </w:r>
      <w:r w:rsidRPr="00D341D7">
        <w:t>(</w:t>
      </w:r>
      <w:r w:rsidR="00921021">
        <w:t>-</w:t>
      </w:r>
      <w:r w:rsidR="00EA7294">
        <w:t>0.</w:t>
      </w:r>
      <w:r w:rsidR="006C5F1B">
        <w:t>182</w:t>
      </w:r>
      <w:r w:rsidR="00D70708">
        <w:t>%</w:t>
      </w:r>
      <w:r w:rsidRPr="00D341D7">
        <w:t>) from (</w:t>
      </w:r>
      <w:r w:rsidR="00DB63F1">
        <w:t>4</w:t>
      </w:r>
      <w:r w:rsidR="00921021">
        <w:t>.</w:t>
      </w:r>
      <w:r w:rsidR="006C5F1B">
        <w:t>112</w:t>
      </w:r>
      <w:r w:rsidRPr="00D341D7">
        <w:t xml:space="preserve">%) in </w:t>
      </w:r>
      <w:r w:rsidR="006C5F1B">
        <w:t>April</w:t>
      </w:r>
      <w:r w:rsidRPr="00D341D7">
        <w:t xml:space="preserve"> 202</w:t>
      </w:r>
      <w:r w:rsidR="00DE231D">
        <w:t>5</w:t>
      </w:r>
      <w:r w:rsidRPr="00D341D7">
        <w:t xml:space="preserve">. </w:t>
      </w:r>
    </w:p>
    <w:bookmarkEnd w:id="3"/>
    <w:p w14:paraId="451816EC" w14:textId="60A3138B" w:rsidR="001A4083" w:rsidRDefault="004638A4" w:rsidP="009E7EF6">
      <w:pPr>
        <w:jc w:val="center"/>
        <w:rPr>
          <w:sz w:val="18"/>
        </w:rPr>
      </w:pPr>
      <w:r w:rsidRPr="004638A4">
        <w:rPr>
          <w:noProof/>
          <w:sz w:val="18"/>
        </w:rPr>
        <w:drawing>
          <wp:inline distT="0" distB="0" distL="0" distR="0" wp14:anchorId="25732667" wp14:editId="5CAFD59F">
            <wp:extent cx="4362450" cy="1638300"/>
            <wp:effectExtent l="0" t="0" r="0" b="0"/>
            <wp:docPr id="985965712"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362450" cy="1638300"/>
                    </a:xfrm>
                    <a:prstGeom prst="rect">
                      <a:avLst/>
                    </a:prstGeom>
                    <a:noFill/>
                    <a:ln>
                      <a:noFill/>
                    </a:ln>
                  </pic:spPr>
                </pic:pic>
              </a:graphicData>
            </a:graphic>
          </wp:inline>
        </w:drawing>
      </w:r>
    </w:p>
    <w:p w14:paraId="03CFA4CC" w14:textId="46BD3DB7" w:rsidR="009E7EF6" w:rsidRDefault="009E7EF6" w:rsidP="009E7EF6">
      <w:pPr>
        <w:jc w:val="center"/>
        <w:rPr>
          <w:sz w:val="18"/>
        </w:rPr>
      </w:pPr>
      <w:r w:rsidRPr="00A70A09">
        <w:rPr>
          <w:sz w:val="18"/>
        </w:rPr>
        <w:t xml:space="preserve">Source data: Lonsec as </w:t>
      </w:r>
      <w:r w:rsidR="0023164B" w:rsidRPr="00A70A09">
        <w:rPr>
          <w:sz w:val="18"/>
        </w:rPr>
        <w:t>of</w:t>
      </w:r>
      <w:r w:rsidRPr="00A70A09">
        <w:rPr>
          <w:sz w:val="18"/>
        </w:rPr>
        <w:t xml:space="preserve"> </w:t>
      </w:r>
      <w:r w:rsidR="004638A4">
        <w:rPr>
          <w:sz w:val="18"/>
        </w:rPr>
        <w:t>31</w:t>
      </w:r>
      <w:r w:rsidR="004638A4" w:rsidRPr="004638A4">
        <w:rPr>
          <w:sz w:val="18"/>
          <w:vertAlign w:val="superscript"/>
        </w:rPr>
        <w:t>st</w:t>
      </w:r>
      <w:r w:rsidR="004638A4">
        <w:rPr>
          <w:sz w:val="18"/>
        </w:rPr>
        <w:t xml:space="preserve"> May</w:t>
      </w:r>
      <w:r w:rsidR="009B1992">
        <w:rPr>
          <w:sz w:val="18"/>
        </w:rPr>
        <w:t xml:space="preserve"> </w:t>
      </w:r>
      <w:r w:rsidR="00AA627D">
        <w:rPr>
          <w:sz w:val="18"/>
        </w:rPr>
        <w:t>202</w:t>
      </w:r>
      <w:r w:rsidR="0050466F">
        <w:rPr>
          <w:sz w:val="18"/>
        </w:rPr>
        <w:t>5</w:t>
      </w:r>
    </w:p>
    <w:p w14:paraId="16FB30A8" w14:textId="77777777" w:rsidR="00670F31" w:rsidRDefault="00670F31" w:rsidP="009E7EF6">
      <w:pPr>
        <w:jc w:val="center"/>
        <w:rPr>
          <w:sz w:val="18"/>
        </w:rPr>
      </w:pPr>
    </w:p>
    <w:p w14:paraId="0988FFF2" w14:textId="77777777" w:rsidR="009E7EF6" w:rsidRPr="002C183C" w:rsidRDefault="009E7EF6" w:rsidP="00A70A09">
      <w:pPr>
        <w:pStyle w:val="Heading2"/>
        <w:spacing w:before="0" w:after="0"/>
        <w:rPr>
          <w:rFonts w:asciiTheme="minorHAnsi" w:eastAsiaTheme="minorEastAsia" w:hAnsiTheme="minorHAnsi" w:cstheme="minorBidi"/>
          <w:iCs w:val="0"/>
          <w:color w:val="414042" w:themeColor="text1"/>
          <w:sz w:val="22"/>
          <w:lang w:val="en-AU" w:bidi="ar-SA"/>
        </w:rPr>
      </w:pPr>
      <w:r w:rsidRPr="002C183C">
        <w:rPr>
          <w:rFonts w:asciiTheme="minorHAnsi" w:eastAsiaTheme="minorEastAsia" w:hAnsiTheme="minorHAnsi" w:cstheme="minorBidi"/>
          <w:iCs w:val="0"/>
          <w:color w:val="414042" w:themeColor="text1"/>
          <w:sz w:val="22"/>
          <w:lang w:val="en-AU" w:bidi="ar-SA"/>
        </w:rPr>
        <w:t>Currency</w:t>
      </w:r>
    </w:p>
    <w:p w14:paraId="67CFAFAB" w14:textId="208DACEE" w:rsidR="009E7EF6" w:rsidRDefault="009E7EF6" w:rsidP="00A70A09">
      <w:pPr>
        <w:spacing w:before="0" w:after="0"/>
      </w:pPr>
      <w:r>
        <w:t xml:space="preserve">The </w:t>
      </w:r>
      <w:r w:rsidR="00590B4A">
        <w:t>$</w:t>
      </w:r>
      <w:r>
        <w:t xml:space="preserve">A closed </w:t>
      </w:r>
      <w:r w:rsidR="006956CE">
        <w:t>stronger</w:t>
      </w:r>
      <w:r w:rsidR="009B1992">
        <w:t xml:space="preserve"> </w:t>
      </w:r>
      <w:r w:rsidR="00590B4A">
        <w:t xml:space="preserve">AUD/USD </w:t>
      </w:r>
      <w:r>
        <w:t>0.</w:t>
      </w:r>
      <w:r w:rsidR="003638C4">
        <w:t>6</w:t>
      </w:r>
      <w:r w:rsidR="00EB5A2C">
        <w:t>4</w:t>
      </w:r>
      <w:r w:rsidR="00897D61">
        <w:t>3</w:t>
      </w:r>
      <w:r w:rsidR="00EB5A2C">
        <w:t>6</w:t>
      </w:r>
      <w:r>
        <w:t xml:space="preserve"> at the end of </w:t>
      </w:r>
      <w:r w:rsidR="00897D61">
        <w:t>May</w:t>
      </w:r>
      <w:r w:rsidR="00AA627D">
        <w:t xml:space="preserve"> 202</w:t>
      </w:r>
      <w:r w:rsidR="00D0466A">
        <w:t>5</w:t>
      </w:r>
      <w:r>
        <w:t xml:space="preserve"> which </w:t>
      </w:r>
      <w:r w:rsidR="00811CBE">
        <w:t xml:space="preserve">was </w:t>
      </w:r>
      <w:r w:rsidR="006956CE">
        <w:t>nega</w:t>
      </w:r>
      <w:r w:rsidR="000163D4">
        <w:t>tive</w:t>
      </w:r>
      <w:r w:rsidR="00811CBE">
        <w:t xml:space="preserve"> </w:t>
      </w:r>
      <w:r w:rsidR="006956CE">
        <w:t>on</w:t>
      </w:r>
      <w:r w:rsidR="00811CBE">
        <w:t xml:space="preserve"> </w:t>
      </w:r>
      <w:r w:rsidR="00A72332">
        <w:t>returns for</w:t>
      </w:r>
      <w:r>
        <w:t xml:space="preserve"> investors who held offshore assets unhedged (</w:t>
      </w:r>
      <w:r w:rsidR="006956CE">
        <w:t>-</w:t>
      </w:r>
      <w:r w:rsidR="00897D61">
        <w:t>0.31</w:t>
      </w:r>
      <w:r>
        <w:t xml:space="preserve">%) over the </w:t>
      </w:r>
      <w:r w:rsidR="00CE6ADD">
        <w:t xml:space="preserve">month </w:t>
      </w:r>
      <w:r w:rsidR="00DE0182">
        <w:t>and</w:t>
      </w:r>
      <w:r w:rsidR="00CA7193">
        <w:t xml:space="preserve"> </w:t>
      </w:r>
      <w:r w:rsidR="00CE6ADD">
        <w:t>(</w:t>
      </w:r>
      <w:r w:rsidR="006956CE">
        <w:t>-</w:t>
      </w:r>
      <w:r w:rsidR="00EB5A2C">
        <w:t>3.</w:t>
      </w:r>
      <w:r w:rsidR="00897D61">
        <w:t>5</w:t>
      </w:r>
      <w:r w:rsidR="00EB5A2C">
        <w:t>7</w:t>
      </w:r>
      <w:r w:rsidR="00CE6ADD">
        <w:t>%</w:t>
      </w:r>
      <w:r w:rsidR="0088021D">
        <w:t>)</w:t>
      </w:r>
      <w:r w:rsidR="00CE6ADD">
        <w:t xml:space="preserve"> </w:t>
      </w:r>
      <w:r w:rsidR="0088021D">
        <w:t xml:space="preserve">over the </w:t>
      </w:r>
      <w:r>
        <w:t>last three months.</w:t>
      </w:r>
    </w:p>
    <w:p w14:paraId="3AE21298" w14:textId="77777777" w:rsidR="00301F84" w:rsidRDefault="00301F84" w:rsidP="00A70A09">
      <w:pPr>
        <w:spacing w:before="0" w:after="0"/>
      </w:pPr>
    </w:p>
    <w:p w14:paraId="18782DE7" w14:textId="77777777" w:rsidR="00301F84" w:rsidRDefault="00301F84" w:rsidP="00A70A09">
      <w:pPr>
        <w:spacing w:before="0" w:after="0"/>
      </w:pPr>
    </w:p>
    <w:p w14:paraId="07678E04" w14:textId="77777777" w:rsidR="00301F84" w:rsidRDefault="00301F84" w:rsidP="00A70A09">
      <w:pPr>
        <w:spacing w:before="0" w:after="0"/>
      </w:pPr>
    </w:p>
    <w:p w14:paraId="212936D7" w14:textId="77777777" w:rsidR="00301F84" w:rsidRDefault="00301F84" w:rsidP="00A70A09">
      <w:pPr>
        <w:spacing w:before="0" w:after="0"/>
      </w:pPr>
    </w:p>
    <w:p w14:paraId="65846B51" w14:textId="77777777" w:rsidR="00301F84" w:rsidRDefault="00301F84" w:rsidP="00A70A09">
      <w:pPr>
        <w:spacing w:before="0" w:after="0"/>
      </w:pPr>
    </w:p>
    <w:p w14:paraId="781712B2" w14:textId="77777777" w:rsidR="00301F84" w:rsidRDefault="00301F84" w:rsidP="00A70A09">
      <w:pPr>
        <w:spacing w:before="0" w:after="0"/>
      </w:pPr>
    </w:p>
    <w:p w14:paraId="1C86B466" w14:textId="77777777" w:rsidR="00301F84" w:rsidRDefault="00301F84" w:rsidP="00A70A09">
      <w:pPr>
        <w:spacing w:before="0" w:after="0"/>
      </w:pPr>
    </w:p>
    <w:p w14:paraId="0D9D3FFA" w14:textId="77777777" w:rsidR="00301F84" w:rsidRDefault="00301F84" w:rsidP="00A70A09">
      <w:pPr>
        <w:spacing w:before="0" w:after="0"/>
      </w:pPr>
    </w:p>
    <w:p w14:paraId="61BE8DE3" w14:textId="19D13889" w:rsidR="004D2D2C" w:rsidRDefault="00AF67EB" w:rsidP="00AF67EB">
      <w:r>
        <w:rPr>
          <w:noProof/>
        </w:rPr>
        <w:lastRenderedPageBreak/>
        <mc:AlternateContent>
          <mc:Choice Requires="wps">
            <w:drawing>
              <wp:anchor distT="45720" distB="45720" distL="114300" distR="114300" simplePos="0" relativeHeight="251659264" behindDoc="0" locked="0" layoutInCell="1" allowOverlap="1" wp14:anchorId="674A7F81" wp14:editId="61316737">
                <wp:simplePos x="0" y="0"/>
                <wp:positionH relativeFrom="column">
                  <wp:posOffset>3284487</wp:posOffset>
                </wp:positionH>
                <wp:positionV relativeFrom="paragraph">
                  <wp:posOffset>273017</wp:posOffset>
                </wp:positionV>
                <wp:extent cx="2237105" cy="1986915"/>
                <wp:effectExtent l="0" t="0" r="10795" b="13335"/>
                <wp:wrapSquare wrapText="bothSides"/>
                <wp:docPr id="1542491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7105" cy="1986915"/>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74A7F81" id="_x0000_t202" coordsize="21600,21600" o:spt="202" path="m,l,21600r21600,l21600,xe">
                <v:stroke joinstyle="miter"/>
                <v:path gradientshapeok="t" o:connecttype="rect"/>
              </v:shapetype>
              <v:shape id="Text Box 2" o:spid="_x0000_s1026" type="#_x0000_t202" style="position:absolute;margin-left:258.6pt;margin-top:21.5pt;width:176.15pt;height:156.4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" fillcolor="white [3201]" strokecolor="#414042 [3200]" strokeweight="1pt">
                <v:textbox>
                  <w:txbxContent>
                    <w:p w14:paraId="2DF79A56" w14:textId="77777777" w:rsidR="00AF67EB" w:rsidRDefault="00AF67EB" w:rsidP="00AF67EB">
                      <w:pPr>
                        <w:spacing w:before="0"/>
                      </w:pPr>
                      <w:r w:rsidRPr="008F12F3">
                        <w:t>Currency forecasters see the AUD/USD range between</w:t>
                      </w:r>
                      <w:r>
                        <w:t>:</w:t>
                      </w:r>
                    </w:p>
                    <w:p w14:paraId="0EE890F7" w14:textId="53C6E7E6" w:rsidR="00AF67EB" w:rsidRDefault="00AF67EB" w:rsidP="00AF67EB">
                      <w:pPr>
                        <w:spacing w:before="0"/>
                      </w:pPr>
                      <w:r w:rsidRPr="00D63481">
                        <w:rPr>
                          <w:b/>
                          <w:bCs/>
                        </w:rPr>
                        <w:t>0.</w:t>
                      </w:r>
                      <w:r w:rsidR="006956CE">
                        <w:rPr>
                          <w:b/>
                          <w:bCs/>
                        </w:rPr>
                        <w:t>575</w:t>
                      </w:r>
                      <w:r w:rsidRPr="00D63481">
                        <w:rPr>
                          <w:b/>
                          <w:bCs/>
                        </w:rPr>
                        <w:t>0 and 0.</w:t>
                      </w:r>
                      <w:r w:rsidR="006956CE">
                        <w:rPr>
                          <w:b/>
                          <w:bCs/>
                        </w:rPr>
                        <w:t>67</w:t>
                      </w:r>
                      <w:r w:rsidRPr="00D63481">
                        <w:rPr>
                          <w:b/>
                          <w:bCs/>
                        </w:rPr>
                        <w:t>50</w:t>
                      </w:r>
                      <w:r w:rsidRPr="008F12F3">
                        <w:t xml:space="preserve"> cents in the medium term</w:t>
                      </w:r>
                      <w:r>
                        <w:t xml:space="preserve"> and most likely to trade within the:</w:t>
                      </w:r>
                    </w:p>
                    <w:p w14:paraId="0B0DFE4B" w14:textId="77777777" w:rsidR="00AF67EB" w:rsidRDefault="00AF67EB" w:rsidP="00AF67EB">
                      <w:pPr>
                        <w:spacing w:before="0"/>
                      </w:pPr>
                      <w:r w:rsidRPr="00D63481">
                        <w:rPr>
                          <w:b/>
                          <w:bCs/>
                        </w:rPr>
                        <w:t>0.5500 to 0.7500</w:t>
                      </w:r>
                      <w:r>
                        <w:t xml:space="preserve"> range in the longer term.</w:t>
                      </w:r>
                    </w:p>
                    <w:p w14:paraId="32E13D51" w14:textId="77777777" w:rsidR="00AF67EB" w:rsidRDefault="00AF67EB" w:rsidP="00AF67EB"/>
                  </w:txbxContent>
                </v:textbox>
                <w10:wrap type="square"/>
              </v:shape>
            </w:pict>
          </mc:Fallback>
        </mc:AlternateContent>
      </w:r>
      <w:r w:rsidR="00A954C5" w:rsidRPr="00A954C5">
        <w:t xml:space="preserve"> </w:t>
      </w:r>
      <w:r w:rsidR="00876A66" w:rsidRPr="00876A66">
        <w:rPr>
          <w:noProof/>
        </w:rPr>
        <w:drawing>
          <wp:inline distT="0" distB="0" distL="0" distR="0" wp14:anchorId="7F1A12E4" wp14:editId="581374B5">
            <wp:extent cx="2987817" cy="2493934"/>
            <wp:effectExtent l="0" t="0" r="3175" b="1905"/>
            <wp:docPr id="191572969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994848" cy="2499803"/>
                    </a:xfrm>
                    <a:prstGeom prst="rect">
                      <a:avLst/>
                    </a:prstGeom>
                    <a:noFill/>
                    <a:ln>
                      <a:noFill/>
                    </a:ln>
                  </pic:spPr>
                </pic:pic>
              </a:graphicData>
            </a:graphic>
          </wp:inline>
        </w:drawing>
      </w:r>
    </w:p>
    <w:p w14:paraId="178A1257" w14:textId="6745915C" w:rsidR="009E7EF6" w:rsidRPr="008275F0" w:rsidRDefault="009E7EF6" w:rsidP="006B4F76">
      <w:pPr>
        <w:pStyle w:val="Heading2"/>
        <w:spacing w:before="0"/>
        <w:rPr>
          <w:rFonts w:asciiTheme="minorHAnsi" w:eastAsiaTheme="minorEastAsia" w:hAnsiTheme="minorHAnsi" w:cstheme="minorBidi"/>
          <w:iCs w:val="0"/>
          <w:color w:val="414042" w:themeColor="text1"/>
          <w:sz w:val="22"/>
          <w:lang w:val="en-AU" w:bidi="ar-SA"/>
        </w:rPr>
      </w:pPr>
      <w:r w:rsidRPr="008275F0">
        <w:rPr>
          <w:rFonts w:asciiTheme="minorHAnsi" w:eastAsiaTheme="minorEastAsia" w:hAnsiTheme="minorHAnsi" w:cstheme="minorBidi"/>
          <w:iCs w:val="0"/>
          <w:color w:val="414042" w:themeColor="text1"/>
          <w:sz w:val="22"/>
          <w:lang w:val="en-AU" w:bidi="ar-SA"/>
        </w:rPr>
        <w:t>Australian Economy</w:t>
      </w:r>
    </w:p>
    <w:p w14:paraId="26EE5924" w14:textId="76233DE3" w:rsidR="009E7EF6" w:rsidRDefault="00E83078" w:rsidP="00A70A09">
      <w:pPr>
        <w:spacing w:before="0" w:after="240"/>
      </w:pPr>
      <w:r w:rsidRPr="00E83078">
        <w:t>Australia’s latest GDP data for the</w:t>
      </w:r>
      <w:r w:rsidR="00CF265D">
        <w:t xml:space="preserve"> </w:t>
      </w:r>
      <w:r w:rsidR="00275E99">
        <w:t>fourth</w:t>
      </w:r>
      <w:r w:rsidRPr="00E83078">
        <w:t xml:space="preserve"> quarter of 202</w:t>
      </w:r>
      <w:r w:rsidR="0091516C">
        <w:t>4</w:t>
      </w:r>
      <w:r w:rsidRPr="00E83078">
        <w:t xml:space="preserve"> revealed an </w:t>
      </w:r>
      <w:r w:rsidRPr="00E83078">
        <w:rPr>
          <w:b/>
          <w:bCs/>
        </w:rPr>
        <w:t xml:space="preserve">annual growth rate of </w:t>
      </w:r>
      <w:r w:rsidR="00275E99">
        <w:rPr>
          <w:b/>
          <w:bCs/>
        </w:rPr>
        <w:t>1.3</w:t>
      </w:r>
      <w:r w:rsidRPr="00E83078">
        <w:rPr>
          <w:b/>
          <w:bCs/>
        </w:rPr>
        <w:t>%</w:t>
      </w:r>
      <w:r w:rsidRPr="00E83078">
        <w:t xml:space="preserve"> which was </w:t>
      </w:r>
      <w:r w:rsidR="00275E99">
        <w:t>up</w:t>
      </w:r>
      <w:r w:rsidR="002656F2">
        <w:t xml:space="preserve"> f</w:t>
      </w:r>
      <w:r w:rsidRPr="00E83078">
        <w:t xml:space="preserve">rom </w:t>
      </w:r>
      <w:r w:rsidR="00275E99">
        <w:t>0.80</w:t>
      </w:r>
      <w:r w:rsidR="001F699A">
        <w:t xml:space="preserve">% in the </w:t>
      </w:r>
      <w:r w:rsidR="00275E99">
        <w:t>third</w:t>
      </w:r>
      <w:r w:rsidR="001F699A">
        <w:t xml:space="preserve"> </w:t>
      </w:r>
      <w:r w:rsidRPr="00E83078">
        <w:t>quarter of 202</w:t>
      </w:r>
      <w:r w:rsidR="00CF265D">
        <w:t>4</w:t>
      </w:r>
      <w:r w:rsidR="002656F2">
        <w:t>.</w:t>
      </w:r>
      <w:r w:rsidRPr="00E83078">
        <w:t xml:space="preserve"> Unemployment </w:t>
      </w:r>
      <w:r w:rsidR="009A724B">
        <w:t>was unchanged at</w:t>
      </w:r>
      <w:r w:rsidR="009F26B6">
        <w:t xml:space="preserve"> </w:t>
      </w:r>
      <w:r w:rsidR="003B014A">
        <w:t>4.</w:t>
      </w:r>
      <w:r w:rsidR="00275E99">
        <w:t>1</w:t>
      </w:r>
      <w:r w:rsidR="00481C63">
        <w:t xml:space="preserve">% </w:t>
      </w:r>
      <w:r w:rsidRPr="00E83078">
        <w:t xml:space="preserve">in </w:t>
      </w:r>
      <w:r w:rsidR="009A724B">
        <w:t>April</w:t>
      </w:r>
      <w:r w:rsidRPr="00E83078">
        <w:t xml:space="preserve"> 202</w:t>
      </w:r>
      <w:r w:rsidR="00275E99">
        <w:t>5</w:t>
      </w:r>
      <w:r w:rsidR="009A724B">
        <w:t>.</w:t>
      </w:r>
      <w:r w:rsidRPr="00E83078">
        <w:t xml:space="preserve"> The </w:t>
      </w:r>
      <w:r w:rsidR="00642BAE">
        <w:t xml:space="preserve">Y-O-Y </w:t>
      </w:r>
      <w:r w:rsidR="001918FE" w:rsidRPr="007D7864">
        <w:rPr>
          <w:b/>
          <w:bCs/>
        </w:rPr>
        <w:t xml:space="preserve">inflation rate </w:t>
      </w:r>
      <w:r w:rsidR="009A724B">
        <w:rPr>
          <w:b/>
          <w:bCs/>
        </w:rPr>
        <w:t>held steady at</w:t>
      </w:r>
      <w:r w:rsidR="001918FE" w:rsidRPr="007D7864">
        <w:rPr>
          <w:b/>
          <w:bCs/>
        </w:rPr>
        <w:t xml:space="preserve"> </w:t>
      </w:r>
      <w:r w:rsidR="004916DD">
        <w:rPr>
          <w:b/>
          <w:bCs/>
        </w:rPr>
        <w:t>2</w:t>
      </w:r>
      <w:r w:rsidR="00A7764C">
        <w:rPr>
          <w:b/>
          <w:bCs/>
        </w:rPr>
        <w:t>.</w:t>
      </w:r>
      <w:r w:rsidR="00F32028">
        <w:rPr>
          <w:b/>
          <w:bCs/>
        </w:rPr>
        <w:t>4</w:t>
      </w:r>
      <w:r w:rsidR="001918FE" w:rsidRPr="007D7864">
        <w:rPr>
          <w:b/>
          <w:bCs/>
        </w:rPr>
        <w:t>%</w:t>
      </w:r>
      <w:r w:rsidR="001918FE">
        <w:t xml:space="preserve"> in the </w:t>
      </w:r>
      <w:r w:rsidR="00F32028">
        <w:t>f</w:t>
      </w:r>
      <w:r w:rsidR="009A724B">
        <w:t>irst</w:t>
      </w:r>
      <w:r w:rsidR="001918FE">
        <w:t xml:space="preserve"> quarter of 202</w:t>
      </w:r>
      <w:r w:rsidR="009A724B">
        <w:t>5</w:t>
      </w:r>
      <w:r w:rsidR="001918FE">
        <w:t xml:space="preserve"> </w:t>
      </w:r>
      <w:r w:rsidR="009A724B">
        <w:t>unchanged from the fourth quarter of</w:t>
      </w:r>
      <w:r w:rsidR="00482044">
        <w:t xml:space="preserve"> </w:t>
      </w:r>
      <w:r w:rsidR="001918FE">
        <w:t>202</w:t>
      </w:r>
      <w:r w:rsidR="00301803">
        <w:t>4</w:t>
      </w:r>
      <w:r w:rsidR="001918FE">
        <w:t xml:space="preserve">, </w:t>
      </w:r>
      <w:r w:rsidR="009E7EF6">
        <w:t xml:space="preserve">which is </w:t>
      </w:r>
      <w:r w:rsidR="004916DD">
        <w:t>within</w:t>
      </w:r>
      <w:r w:rsidR="00892627">
        <w:t xml:space="preserve"> the </w:t>
      </w:r>
      <w:r w:rsidR="009E7EF6">
        <w:t>Reserve Bank’s targeted 2% to 3% target range.</w:t>
      </w:r>
      <w:r w:rsidR="009E7EF6" w:rsidRPr="00954E33">
        <w:t xml:space="preserve"> </w:t>
      </w:r>
    </w:p>
    <w:p w14:paraId="2527D827" w14:textId="77E3A53B" w:rsidR="00147535" w:rsidRDefault="00301F84" w:rsidP="00C96BC6">
      <w:pPr>
        <w:pStyle w:val="Heading2"/>
        <w:jc w:val="center"/>
        <w:rPr>
          <w:b w:val="0"/>
          <w:bCs w:val="0"/>
        </w:rPr>
      </w:pPr>
      <w:r w:rsidRPr="00301F84">
        <w:rPr>
          <w:b w:val="0"/>
          <w:bCs w:val="0"/>
          <w:noProof/>
        </w:rPr>
        <w:drawing>
          <wp:inline distT="0" distB="0" distL="0" distR="0" wp14:anchorId="12990CFE" wp14:editId="3BD6E8F9">
            <wp:extent cx="2804364" cy="2451760"/>
            <wp:effectExtent l="0" t="0" r="0" b="5715"/>
            <wp:docPr id="19236241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19342" cy="2464855"/>
                    </a:xfrm>
                    <a:prstGeom prst="rect">
                      <a:avLst/>
                    </a:prstGeom>
                    <a:noFill/>
                    <a:ln>
                      <a:noFill/>
                    </a:ln>
                  </pic:spPr>
                </pic:pic>
              </a:graphicData>
            </a:graphic>
          </wp:inline>
        </w:drawing>
      </w:r>
      <w:r w:rsidR="00907005" w:rsidRPr="00907005">
        <w:rPr>
          <w:b w:val="0"/>
          <w:bCs w:val="0"/>
        </w:rPr>
        <w:t xml:space="preserve"> </w:t>
      </w:r>
      <w:r w:rsidRPr="00301F84">
        <w:rPr>
          <w:b w:val="0"/>
          <w:bCs w:val="0"/>
          <w:noProof/>
        </w:rPr>
        <w:drawing>
          <wp:inline distT="0" distB="0" distL="0" distR="0" wp14:anchorId="258CF057" wp14:editId="0D75C1D1">
            <wp:extent cx="2680837" cy="2439785"/>
            <wp:effectExtent l="0" t="0" r="5715" b="0"/>
            <wp:docPr id="210068002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699320" cy="2456606"/>
                    </a:xfrm>
                    <a:prstGeom prst="rect">
                      <a:avLst/>
                    </a:prstGeom>
                    <a:noFill/>
                    <a:ln>
                      <a:noFill/>
                    </a:ln>
                  </pic:spPr>
                </pic:pic>
              </a:graphicData>
            </a:graphic>
          </wp:inline>
        </w:drawing>
      </w:r>
    </w:p>
    <w:p w14:paraId="49164B88" w14:textId="77777777" w:rsidR="00F33D40" w:rsidRPr="00F33D40" w:rsidRDefault="00F33D40" w:rsidP="00F33D40">
      <w:pPr>
        <w:rPr>
          <w:lang w:val="en-US" w:bidi="en-US"/>
        </w:rPr>
      </w:pPr>
    </w:p>
    <w:p w14:paraId="13598D04" w14:textId="2D54B170" w:rsidR="009E7EF6" w:rsidRPr="002C183C" w:rsidRDefault="00147535" w:rsidP="009E7EF6">
      <w:pPr>
        <w:pStyle w:val="Heading2"/>
        <w:rPr>
          <w:rFonts w:asciiTheme="minorHAnsi" w:eastAsiaTheme="minorEastAsia" w:hAnsiTheme="minorHAnsi" w:cstheme="minorBidi"/>
          <w:iCs w:val="0"/>
          <w:color w:val="414042" w:themeColor="text1"/>
          <w:sz w:val="22"/>
          <w:lang w:val="en-AU" w:bidi="ar-SA"/>
        </w:rPr>
      </w:pPr>
      <w:r>
        <w:rPr>
          <w:rFonts w:asciiTheme="minorHAnsi" w:eastAsiaTheme="minorEastAsia" w:hAnsiTheme="minorHAnsi" w:cstheme="minorBidi"/>
          <w:iCs w:val="0"/>
          <w:color w:val="414042" w:themeColor="text1"/>
          <w:sz w:val="22"/>
          <w:lang w:val="en-AU" w:bidi="ar-SA"/>
        </w:rPr>
        <w:lastRenderedPageBreak/>
        <w:t>Curr</w:t>
      </w:r>
      <w:r w:rsidR="009E7EF6" w:rsidRPr="002C183C">
        <w:rPr>
          <w:rFonts w:asciiTheme="minorHAnsi" w:eastAsiaTheme="minorEastAsia" w:hAnsiTheme="minorHAnsi" w:cstheme="minorBidi"/>
          <w:iCs w:val="0"/>
          <w:color w:val="414042" w:themeColor="text1"/>
          <w:sz w:val="22"/>
          <w:lang w:val="en-AU" w:bidi="ar-SA"/>
        </w:rPr>
        <w:t>ent Market View</w:t>
      </w:r>
    </w:p>
    <w:p w14:paraId="6D8387E0" w14:textId="77777777" w:rsidR="009E7EF6" w:rsidRPr="002C183C" w:rsidRDefault="009E7EF6" w:rsidP="009E7EF6">
      <w:pPr>
        <w:pStyle w:val="Heading3"/>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Domestic View</w:t>
      </w:r>
    </w:p>
    <w:p w14:paraId="72A614DB" w14:textId="78741C23" w:rsidR="00D658F2" w:rsidRPr="001740F6" w:rsidRDefault="00D658F2" w:rsidP="00001F8C">
      <w:r>
        <w:t xml:space="preserve">The overall </w:t>
      </w:r>
      <w:r w:rsidR="002C2046">
        <w:t xml:space="preserve">investment </w:t>
      </w:r>
      <w:r w:rsidR="00242925">
        <w:t>view</w:t>
      </w:r>
      <w:r>
        <w:t xml:space="preserve"> </w:t>
      </w:r>
      <w:r w:rsidR="005A4CB4">
        <w:t xml:space="preserve">for shares </w:t>
      </w:r>
      <w:r w:rsidR="009965D9">
        <w:t>“</w:t>
      </w:r>
      <w:r w:rsidR="009965D9" w:rsidRPr="009965D9">
        <w:rPr>
          <w:b/>
          <w:bCs/>
        </w:rPr>
        <w:t>cautiously</w:t>
      </w:r>
      <w:r w:rsidR="009965D9">
        <w:rPr>
          <w:b/>
          <w:bCs/>
        </w:rPr>
        <w:t xml:space="preserve"> </w:t>
      </w:r>
      <w:r w:rsidR="00877A32" w:rsidRPr="009965D9">
        <w:rPr>
          <w:b/>
          <w:bCs/>
        </w:rPr>
        <w:t>o</w:t>
      </w:r>
      <w:r w:rsidR="00877A32" w:rsidRPr="00745215">
        <w:rPr>
          <w:b/>
          <w:bCs/>
        </w:rPr>
        <w:t>ptimistic</w:t>
      </w:r>
      <w:r w:rsidR="009965D9">
        <w:rPr>
          <w:b/>
          <w:bCs/>
        </w:rPr>
        <w:t>”</w:t>
      </w:r>
      <w:r w:rsidR="00877A32">
        <w:t xml:space="preserve"> </w:t>
      </w:r>
      <w:r w:rsidR="00745215">
        <w:rPr>
          <w:b/>
          <w:bCs/>
        </w:rPr>
        <w:t xml:space="preserve">over the </w:t>
      </w:r>
      <w:r w:rsidR="00CE4371">
        <w:rPr>
          <w:b/>
          <w:bCs/>
        </w:rPr>
        <w:t xml:space="preserve">short, medium and </w:t>
      </w:r>
      <w:r w:rsidR="00745215">
        <w:rPr>
          <w:b/>
          <w:bCs/>
        </w:rPr>
        <w:t>long run</w:t>
      </w:r>
      <w:r w:rsidR="009C479B">
        <w:rPr>
          <w:b/>
          <w:bCs/>
        </w:rPr>
        <w:t xml:space="preserve"> </w:t>
      </w:r>
      <w:r w:rsidR="002C2046" w:rsidRPr="002C2046">
        <w:t xml:space="preserve">as interest </w:t>
      </w:r>
      <w:r w:rsidR="00FC017D">
        <w:t xml:space="preserve">rates </w:t>
      </w:r>
      <w:r w:rsidR="00C5696F">
        <w:t xml:space="preserve">are </w:t>
      </w:r>
      <w:r w:rsidR="00C5696F" w:rsidRPr="009965D9">
        <w:t xml:space="preserve">expected to </w:t>
      </w:r>
      <w:r w:rsidR="001740F6" w:rsidRPr="009965D9">
        <w:rPr>
          <w:b/>
          <w:bCs/>
        </w:rPr>
        <w:t xml:space="preserve">continue </w:t>
      </w:r>
      <w:r w:rsidR="00077BE9">
        <w:rPr>
          <w:b/>
          <w:bCs/>
        </w:rPr>
        <w:t>to</w:t>
      </w:r>
      <w:r w:rsidR="001740F6" w:rsidRPr="009965D9">
        <w:rPr>
          <w:b/>
          <w:bCs/>
        </w:rPr>
        <w:t xml:space="preserve"> trend</w:t>
      </w:r>
      <w:r w:rsidR="00077BE9">
        <w:rPr>
          <w:b/>
          <w:bCs/>
        </w:rPr>
        <w:t xml:space="preserve"> down</w:t>
      </w:r>
      <w:r w:rsidR="001740F6" w:rsidRPr="009965D9">
        <w:t xml:space="preserve"> </w:t>
      </w:r>
      <w:r w:rsidR="009965D9" w:rsidRPr="009965D9">
        <w:t>post the</w:t>
      </w:r>
      <w:r w:rsidR="009965D9">
        <w:rPr>
          <w:b/>
          <w:bCs/>
        </w:rPr>
        <w:t xml:space="preserve"> </w:t>
      </w:r>
      <w:r w:rsidR="00077BE9">
        <w:rPr>
          <w:b/>
          <w:bCs/>
        </w:rPr>
        <w:t xml:space="preserve">tariff implementation </w:t>
      </w:r>
      <w:r w:rsidR="00077BE9" w:rsidRPr="00077BE9">
        <w:t>and future</w:t>
      </w:r>
      <w:r w:rsidR="00077BE9">
        <w:rPr>
          <w:b/>
          <w:bCs/>
        </w:rPr>
        <w:t xml:space="preserve"> </w:t>
      </w:r>
      <w:r w:rsidR="0018703E" w:rsidRPr="0018703E">
        <w:t xml:space="preserve">anticipated </w:t>
      </w:r>
      <w:r w:rsidR="001740F6" w:rsidRPr="001740F6">
        <w:t>easing of Monetary Policy</w:t>
      </w:r>
      <w:r w:rsidR="001740F6">
        <w:t xml:space="preserve"> by the RBA</w:t>
      </w:r>
      <w:r w:rsidR="001740F6" w:rsidRPr="001740F6">
        <w:t>.</w:t>
      </w:r>
    </w:p>
    <w:p w14:paraId="09E86B6C" w14:textId="0ECEE0AA" w:rsidR="0018703E" w:rsidRPr="0018703E" w:rsidRDefault="0018703E" w:rsidP="0018703E">
      <w:r>
        <w:t xml:space="preserve">The market is expecting a </w:t>
      </w:r>
      <w:r w:rsidRPr="00596BAB">
        <w:rPr>
          <w:b/>
          <w:bCs/>
        </w:rPr>
        <w:t>0.25% cut to interest rates</w:t>
      </w:r>
      <w:r>
        <w:t xml:space="preserve"> at the coming RBA monetary policy meeting </w:t>
      </w:r>
      <w:r w:rsidR="00C64D54">
        <w:t xml:space="preserve">on the </w:t>
      </w:r>
      <w:r w:rsidR="00C64D54" w:rsidRPr="00C64D54">
        <w:rPr>
          <w:b/>
          <w:bCs/>
        </w:rPr>
        <w:t>7</w:t>
      </w:r>
      <w:r w:rsidR="00C64D54" w:rsidRPr="00C64D54">
        <w:rPr>
          <w:b/>
          <w:bCs/>
          <w:vertAlign w:val="superscript"/>
        </w:rPr>
        <w:t>th</w:t>
      </w:r>
      <w:r w:rsidR="00C64D54" w:rsidRPr="00C64D54">
        <w:rPr>
          <w:b/>
          <w:bCs/>
        </w:rPr>
        <w:t>/8</w:t>
      </w:r>
      <w:r w:rsidR="00C64D54" w:rsidRPr="00C64D54">
        <w:rPr>
          <w:b/>
          <w:bCs/>
          <w:vertAlign w:val="superscript"/>
        </w:rPr>
        <w:t>th</w:t>
      </w:r>
      <w:r w:rsidR="00C64D54" w:rsidRPr="00C64D54">
        <w:rPr>
          <w:b/>
          <w:bCs/>
        </w:rPr>
        <w:t xml:space="preserve"> July 2025</w:t>
      </w:r>
      <w:r>
        <w:t>. This will help borrowers in the short-term and support share market valuations.</w:t>
      </w:r>
    </w:p>
    <w:p w14:paraId="1B4AEE86" w14:textId="58CB9E27" w:rsidR="009E7EF6" w:rsidRPr="002C183C" w:rsidRDefault="009E7EF6" w:rsidP="004273DE">
      <w:pPr>
        <w:pStyle w:val="Heading3"/>
        <w:spacing w:before="120" w:after="120"/>
        <w:rPr>
          <w:rFonts w:asciiTheme="minorHAnsi" w:eastAsiaTheme="minorEastAsia" w:hAnsiTheme="minorHAnsi" w:cstheme="minorBidi"/>
          <w:iCs w:val="0"/>
          <w:caps w:val="0"/>
          <w:color w:val="414042" w:themeColor="text1"/>
          <w:lang w:val="en-AU" w:bidi="ar-SA"/>
        </w:rPr>
      </w:pPr>
      <w:r w:rsidRPr="002C183C">
        <w:rPr>
          <w:rFonts w:asciiTheme="minorHAnsi" w:eastAsiaTheme="minorEastAsia" w:hAnsiTheme="minorHAnsi" w:cstheme="minorBidi"/>
          <w:iCs w:val="0"/>
          <w:caps w:val="0"/>
          <w:color w:val="414042" w:themeColor="text1"/>
          <w:lang w:val="en-AU" w:bidi="ar-SA"/>
        </w:rPr>
        <w:t>Global View</w:t>
      </w:r>
    </w:p>
    <w:p w14:paraId="49D232AF" w14:textId="0B4FCAAD" w:rsidR="00AB1F7F" w:rsidRDefault="00FD5867" w:rsidP="00E02932">
      <w:pPr>
        <w:spacing w:before="120" w:after="120"/>
      </w:pPr>
      <w:r>
        <w:t>Global</w:t>
      </w:r>
      <w:r w:rsidR="00F11088">
        <w:t xml:space="preserve"> </w:t>
      </w:r>
      <w:r w:rsidR="0077020B">
        <w:t xml:space="preserve">share </w:t>
      </w:r>
      <w:r w:rsidR="002761ED">
        <w:t xml:space="preserve">market </w:t>
      </w:r>
      <w:r w:rsidR="00AB1F7F">
        <w:t xml:space="preserve">remains </w:t>
      </w:r>
      <w:r w:rsidR="00AB1F7F" w:rsidRPr="00AB1F7F">
        <w:rPr>
          <w:b/>
          <w:bCs/>
        </w:rPr>
        <w:t xml:space="preserve">uncertain </w:t>
      </w:r>
      <w:r w:rsidR="00AB1F7F">
        <w:t>given the Middle East conflict</w:t>
      </w:r>
      <w:r w:rsidR="0018703E">
        <w:t xml:space="preserve"> </w:t>
      </w:r>
      <w:r w:rsidR="00AB1F7F">
        <w:t xml:space="preserve">which we expect will result in Central Banks looking to ease interest rates to prevent further fallout from the events where they can however, the countries impacted by trade tariffs directly are likely to </w:t>
      </w:r>
      <w:r w:rsidR="00AB1F7F" w:rsidRPr="00AB1F7F">
        <w:rPr>
          <w:b/>
          <w:bCs/>
        </w:rPr>
        <w:t>hold rates</w:t>
      </w:r>
      <w:r w:rsidR="00AB1F7F">
        <w:t xml:space="preserve"> while they assess what will be the inflationary impacts of the new tariffs.  </w:t>
      </w:r>
    </w:p>
    <w:p w14:paraId="600F27A5" w14:textId="5DE19EF7" w:rsidR="009965D9" w:rsidRDefault="009965D9" w:rsidP="00E02932">
      <w:pPr>
        <w:spacing w:before="120" w:after="120"/>
      </w:pPr>
      <w:r>
        <w:t xml:space="preserve">Global markets have dealt with tariffs in the past and they will settle given the charges have only just begun. </w:t>
      </w:r>
      <w:r w:rsidR="0054797D">
        <w:t xml:space="preserve">The implementation of the tariffs will take time to work through and in the interim, markets will remain on alert. </w:t>
      </w:r>
      <w:r w:rsidRPr="00D110CF">
        <w:rPr>
          <w:b/>
          <w:bCs/>
        </w:rPr>
        <w:t>We remain optimistic about the future</w:t>
      </w:r>
      <w:r w:rsidR="0029095D">
        <w:rPr>
          <w:b/>
          <w:bCs/>
        </w:rPr>
        <w:t xml:space="preserve"> </w:t>
      </w:r>
      <w:r w:rsidR="0029095D" w:rsidRPr="00CC01D6">
        <w:t xml:space="preserve">despite the tariffs and </w:t>
      </w:r>
      <w:r w:rsidR="00CC01D6" w:rsidRPr="00CC01D6">
        <w:t>the</w:t>
      </w:r>
      <w:r w:rsidR="00CC01D6">
        <w:rPr>
          <w:b/>
          <w:bCs/>
        </w:rPr>
        <w:t xml:space="preserve"> interruption to global trade.</w:t>
      </w:r>
    </w:p>
    <w:p w14:paraId="5A79C98F" w14:textId="77777777" w:rsidR="00AB1F7F" w:rsidRDefault="00CC3247" w:rsidP="00E02932">
      <w:pPr>
        <w:spacing w:before="120" w:after="120"/>
      </w:pPr>
      <w:r w:rsidRPr="00CC3247">
        <w:t xml:space="preserve">Despite the </w:t>
      </w:r>
      <w:r w:rsidR="007B07C4">
        <w:t xml:space="preserve">uncertain </w:t>
      </w:r>
      <w:r w:rsidR="0002488F">
        <w:t>geo</w:t>
      </w:r>
      <w:r w:rsidR="00BF72F5">
        <w:t xml:space="preserve">political situation </w:t>
      </w:r>
      <w:r w:rsidR="00B11817">
        <w:t>with the</w:t>
      </w:r>
      <w:r w:rsidR="003654CD">
        <w:t xml:space="preserve"> </w:t>
      </w:r>
      <w:r w:rsidR="006B19AD">
        <w:t>Russia</w:t>
      </w:r>
      <w:r w:rsidR="009708AD">
        <w:t>-</w:t>
      </w:r>
      <w:r w:rsidR="006B19AD">
        <w:t>Ukraine</w:t>
      </w:r>
      <w:r w:rsidR="009708AD">
        <w:t>, Israel-H</w:t>
      </w:r>
      <w:r w:rsidR="009B38B3">
        <w:t>a</w:t>
      </w:r>
      <w:r w:rsidR="009708AD">
        <w:t>mas</w:t>
      </w:r>
      <w:r w:rsidR="006277A4">
        <w:t xml:space="preserve">, </w:t>
      </w:r>
      <w:r w:rsidR="00AB1F7F">
        <w:t xml:space="preserve">Israel and Iran, </w:t>
      </w:r>
      <w:r w:rsidR="006277A4">
        <w:t xml:space="preserve">Hezbollah and </w:t>
      </w:r>
      <w:r w:rsidR="006B19AD">
        <w:t xml:space="preserve"> </w:t>
      </w:r>
      <w:r w:rsidR="006277A4">
        <w:t xml:space="preserve">Houthi </w:t>
      </w:r>
      <w:r w:rsidR="009B38B3">
        <w:t>conflict,</w:t>
      </w:r>
      <w:r w:rsidR="006B19AD">
        <w:t xml:space="preserve"> and </w:t>
      </w:r>
      <w:r w:rsidR="002903A6">
        <w:t xml:space="preserve">economic slowdown </w:t>
      </w:r>
      <w:r w:rsidR="00BF72F5">
        <w:t xml:space="preserve">concerns, </w:t>
      </w:r>
      <w:r w:rsidRPr="00090E25">
        <w:t xml:space="preserve">we </w:t>
      </w:r>
      <w:r w:rsidR="00090E25" w:rsidRPr="00090E25">
        <w:t xml:space="preserve">expect the </w:t>
      </w:r>
      <w:r w:rsidR="007B07C4" w:rsidRPr="00090E25">
        <w:rPr>
          <w:b/>
          <w:bCs/>
        </w:rPr>
        <w:t xml:space="preserve">medium-term </w:t>
      </w:r>
      <w:r w:rsidRPr="00090E25">
        <w:rPr>
          <w:b/>
          <w:bCs/>
        </w:rPr>
        <w:t>outlook</w:t>
      </w:r>
      <w:r w:rsidR="00090E25" w:rsidRPr="00090E25">
        <w:rPr>
          <w:b/>
          <w:bCs/>
        </w:rPr>
        <w:t xml:space="preserve"> to reflect </w:t>
      </w:r>
      <w:r w:rsidR="00885792">
        <w:rPr>
          <w:b/>
          <w:bCs/>
        </w:rPr>
        <w:t>reasonable</w:t>
      </w:r>
      <w:r w:rsidR="00090E25" w:rsidRPr="00090E25">
        <w:rPr>
          <w:b/>
          <w:bCs/>
        </w:rPr>
        <w:t xml:space="preserve"> opportunities for investors</w:t>
      </w:r>
      <w:r w:rsidR="00090E25">
        <w:t xml:space="preserve">. </w:t>
      </w:r>
    </w:p>
    <w:p w14:paraId="746B3093" w14:textId="22FABC60" w:rsidR="00476B80" w:rsidRPr="00E37E86" w:rsidRDefault="00FA2956" w:rsidP="004273DE">
      <w:pPr>
        <w:spacing w:before="120" w:after="120"/>
        <w:rPr>
          <w:b/>
          <w:bCs/>
        </w:rPr>
      </w:pPr>
      <w:r>
        <w:rPr>
          <w:b/>
          <w:bCs/>
        </w:rPr>
        <w:t>Where to From Here?</w:t>
      </w:r>
    </w:p>
    <w:p w14:paraId="3208B238" w14:textId="77777777" w:rsidR="002761ED" w:rsidRDefault="00FA2956" w:rsidP="004273DE">
      <w:pPr>
        <w:spacing w:before="120" w:after="120"/>
      </w:pPr>
      <w:r w:rsidRPr="00850E8E">
        <w:rPr>
          <w:b/>
          <w:bCs/>
        </w:rPr>
        <w:t>For Australia</w:t>
      </w:r>
      <w:r>
        <w:t xml:space="preserve">, </w:t>
      </w:r>
      <w:r w:rsidR="002761ED">
        <w:t xml:space="preserve"> a </w:t>
      </w:r>
      <w:r w:rsidR="002761ED" w:rsidRPr="002761ED">
        <w:rPr>
          <w:b/>
          <w:bCs/>
        </w:rPr>
        <w:t>soft landing is still on the cards</w:t>
      </w:r>
      <w:r w:rsidR="002761ED">
        <w:t xml:space="preserve">. Markets take the lead from </w:t>
      </w:r>
      <w:r w:rsidR="00B52912">
        <w:t xml:space="preserve">what is happening in the </w:t>
      </w:r>
      <w:r w:rsidR="00931211" w:rsidRPr="00B52912">
        <w:t xml:space="preserve">global markets </w:t>
      </w:r>
      <w:r w:rsidR="002761ED">
        <w:t>as this</w:t>
      </w:r>
      <w:r w:rsidR="0002488F">
        <w:t xml:space="preserve"> </w:t>
      </w:r>
      <w:r w:rsidR="00A82292">
        <w:t>directly impact</w:t>
      </w:r>
      <w:r w:rsidR="002761ED">
        <w:t>s</w:t>
      </w:r>
      <w:r w:rsidR="00A82292">
        <w:t xml:space="preserve"> our markets </w:t>
      </w:r>
      <w:r w:rsidR="002761ED">
        <w:t>given</w:t>
      </w:r>
      <w:r w:rsidR="00A82292">
        <w:t xml:space="preserve"> </w:t>
      </w:r>
      <w:r w:rsidR="00457450">
        <w:t xml:space="preserve">there is </w:t>
      </w:r>
      <w:r w:rsidR="0002488F">
        <w:t>align</w:t>
      </w:r>
      <w:r w:rsidR="00457450">
        <w:t>ment</w:t>
      </w:r>
      <w:r w:rsidR="0002488F">
        <w:t xml:space="preserve"> in trade terms </w:t>
      </w:r>
      <w:r w:rsidR="00931211" w:rsidRPr="00B52912">
        <w:t xml:space="preserve">but the fallout </w:t>
      </w:r>
      <w:r w:rsidR="00A82292">
        <w:t xml:space="preserve">remains </w:t>
      </w:r>
      <w:r w:rsidR="00931211" w:rsidRPr="00B52912">
        <w:t xml:space="preserve">mitigated given our </w:t>
      </w:r>
      <w:r w:rsidR="00005474">
        <w:t xml:space="preserve">immigration, </w:t>
      </w:r>
      <w:r w:rsidR="00931211" w:rsidRPr="00B52912">
        <w:t xml:space="preserve">agricultural and resource assets. </w:t>
      </w:r>
    </w:p>
    <w:p w14:paraId="674E0578" w14:textId="6E4B1184" w:rsidR="00967859" w:rsidRDefault="00D110CF" w:rsidP="004273DE">
      <w:pPr>
        <w:spacing w:before="120" w:after="120"/>
      </w:pPr>
      <w:r>
        <w:t xml:space="preserve">Tariffs have had a </w:t>
      </w:r>
      <w:r w:rsidRPr="007D587E">
        <w:rPr>
          <w:b/>
          <w:bCs/>
        </w:rPr>
        <w:t>muted impact</w:t>
      </w:r>
      <w:r>
        <w:t xml:space="preserve"> on our resource sector to date although the market </w:t>
      </w:r>
      <w:r w:rsidR="00967859">
        <w:t xml:space="preserve">did </w:t>
      </w:r>
      <w:r w:rsidR="00DE11E9">
        <w:t>overreact</w:t>
      </w:r>
      <w:r w:rsidR="00967859">
        <w:t xml:space="preserve"> on the downside initially most of which has been unwound of late.</w:t>
      </w:r>
    </w:p>
    <w:p w14:paraId="2DD8849D" w14:textId="41660702" w:rsidR="009E17E6" w:rsidRDefault="00A85EE1" w:rsidP="004273DE">
      <w:pPr>
        <w:spacing w:before="120" w:after="120"/>
      </w:pPr>
      <w:r>
        <w:t xml:space="preserve">Company reporting season </w:t>
      </w:r>
      <w:r w:rsidR="00967859">
        <w:t>has been</w:t>
      </w:r>
      <w:r w:rsidR="00D110CF">
        <w:t xml:space="preserve"> subdued however, </w:t>
      </w:r>
      <w:r w:rsidR="00967859">
        <w:t>there</w:t>
      </w:r>
      <w:r w:rsidR="00D110CF">
        <w:t xml:space="preserve"> are </w:t>
      </w:r>
      <w:r>
        <w:t xml:space="preserve">early signs that guidance is being met or exceeded </w:t>
      </w:r>
      <w:r w:rsidR="00D110CF">
        <w:t xml:space="preserve">in key industries </w:t>
      </w:r>
      <w:r>
        <w:t>which will support the positive momentum of the share market.</w:t>
      </w:r>
    </w:p>
    <w:p w14:paraId="6BF46611" w14:textId="554BD651" w:rsidR="00DC3092" w:rsidRPr="00DC3092" w:rsidRDefault="00A85EE1" w:rsidP="004273DE">
      <w:pPr>
        <w:spacing w:before="120" w:after="120"/>
      </w:pPr>
      <w:r>
        <w:rPr>
          <w:b/>
          <w:bCs/>
        </w:rPr>
        <w:t>T</w:t>
      </w:r>
      <w:r w:rsidRPr="00A85EE1">
        <w:rPr>
          <w:b/>
          <w:bCs/>
        </w:rPr>
        <w:t xml:space="preserve">he </w:t>
      </w:r>
      <w:r w:rsidR="00DC3092" w:rsidRPr="00A85EE1">
        <w:rPr>
          <w:b/>
          <w:bCs/>
        </w:rPr>
        <w:t>Middle East political unrest</w:t>
      </w:r>
      <w:r>
        <w:rPr>
          <w:b/>
          <w:bCs/>
        </w:rPr>
        <w:t xml:space="preserve"> </w:t>
      </w:r>
      <w:r w:rsidRPr="00A85EE1">
        <w:t>is a background factor</w:t>
      </w:r>
      <w:r>
        <w:t xml:space="preserve"> that is not easily solved.</w:t>
      </w:r>
      <w:r w:rsidR="00DC3092">
        <w:rPr>
          <w:b/>
          <w:bCs/>
        </w:rPr>
        <w:t xml:space="preserve"> </w:t>
      </w:r>
      <w:r w:rsidR="009F26B6" w:rsidRPr="00DC3092">
        <w:t>Let us</w:t>
      </w:r>
      <w:r w:rsidR="00DC3092" w:rsidRPr="00DC3092">
        <w:t xml:space="preserve"> hope the situation </w:t>
      </w:r>
      <w:r w:rsidR="009F26B6">
        <w:t>will be</w:t>
      </w:r>
      <w:r w:rsidR="00DC3092" w:rsidRPr="00DC3092">
        <w:t xml:space="preserve"> contained and a solution </w:t>
      </w:r>
      <w:r w:rsidR="00DC3092">
        <w:t xml:space="preserve">that ceases further aggression and violence </w:t>
      </w:r>
      <w:r w:rsidR="00DC3092" w:rsidRPr="00DC3092">
        <w:t>is forthcoming.</w:t>
      </w:r>
    </w:p>
    <w:p w14:paraId="554EA2E1" w14:textId="35B23EF8" w:rsidR="00D06704" w:rsidRDefault="002761ED" w:rsidP="009E7EF6">
      <w:r w:rsidRPr="002761ED">
        <w:rPr>
          <w:b/>
          <w:bCs/>
        </w:rPr>
        <w:t>Global m</w:t>
      </w:r>
      <w:r w:rsidR="004A734E" w:rsidRPr="002761ED">
        <w:rPr>
          <w:b/>
          <w:bCs/>
        </w:rPr>
        <w:t>arkets</w:t>
      </w:r>
      <w:r w:rsidR="004A734E" w:rsidRPr="004A734E">
        <w:t xml:space="preserve"> have </w:t>
      </w:r>
      <w:r w:rsidR="00B52912">
        <w:t xml:space="preserve">already </w:t>
      </w:r>
      <w:r w:rsidR="00A013B5">
        <w:t>weathered tough conditions</w:t>
      </w:r>
      <w:r w:rsidR="004A734E" w:rsidRPr="004A734E">
        <w:t xml:space="preserve"> </w:t>
      </w:r>
      <w:r w:rsidR="00005474">
        <w:t>over 2023</w:t>
      </w:r>
      <w:r w:rsidR="007D1BED">
        <w:t>/24</w:t>
      </w:r>
      <w:r w:rsidR="00005474">
        <w:t xml:space="preserve"> </w:t>
      </w:r>
      <w:r w:rsidR="004A734E" w:rsidRPr="004A734E">
        <w:t xml:space="preserve">and </w:t>
      </w:r>
      <w:r w:rsidR="00005474">
        <w:t xml:space="preserve">now </w:t>
      </w:r>
      <w:r w:rsidR="00B52912">
        <w:t xml:space="preserve">there is </w:t>
      </w:r>
      <w:r w:rsidR="004A734E" w:rsidRPr="004A734E">
        <w:t xml:space="preserve">economic evidence pointing to a </w:t>
      </w:r>
      <w:r w:rsidR="007D1BED" w:rsidRPr="007D1BED">
        <w:rPr>
          <w:b/>
          <w:bCs/>
        </w:rPr>
        <w:t>soft landing</w:t>
      </w:r>
      <w:r w:rsidR="007D1BED">
        <w:t xml:space="preserve"> rather than a mild recession</w:t>
      </w:r>
      <w:r w:rsidR="00B52912">
        <w:t xml:space="preserve"> </w:t>
      </w:r>
      <w:r w:rsidR="0002488F">
        <w:t xml:space="preserve">in the US and </w:t>
      </w:r>
      <w:r w:rsidR="00967859">
        <w:t xml:space="preserve">pockets of growth emerging for </w:t>
      </w:r>
      <w:r w:rsidR="0002488F">
        <w:t>Europe</w:t>
      </w:r>
      <w:r w:rsidR="00967859">
        <w:t>.</w:t>
      </w:r>
    </w:p>
    <w:p w14:paraId="5B807CD0" w14:textId="1BB0A242" w:rsidR="007D587E" w:rsidRDefault="007D587E" w:rsidP="009E7EF6">
      <w:r>
        <w:lastRenderedPageBreak/>
        <w:t xml:space="preserve">The latest sell-off </w:t>
      </w:r>
      <w:r w:rsidR="00967859">
        <w:t xml:space="preserve">and associated rebound </w:t>
      </w:r>
      <w:r>
        <w:t xml:space="preserve">is </w:t>
      </w:r>
      <w:r w:rsidRPr="00A21E50">
        <w:rPr>
          <w:b/>
          <w:bCs/>
        </w:rPr>
        <w:t>healthy for markets</w:t>
      </w:r>
      <w:r>
        <w:t xml:space="preserve"> as it lets investors </w:t>
      </w:r>
      <w:r w:rsidRPr="00A21E50">
        <w:rPr>
          <w:b/>
          <w:bCs/>
        </w:rPr>
        <w:t>recalibrate</w:t>
      </w:r>
      <w:r>
        <w:t xml:space="preserve"> their portfolios and pick up bargains along the way. Disruption can be rewarding but care needs to be taken in the bouts of volatility not to overreact.</w:t>
      </w:r>
    </w:p>
    <w:p w14:paraId="67B2D452" w14:textId="624D8947" w:rsidR="004B17FB" w:rsidRDefault="00005474" w:rsidP="009E7EF6">
      <w:r w:rsidRPr="00005474">
        <w:rPr>
          <w:b/>
          <w:bCs/>
        </w:rPr>
        <w:t>M</w:t>
      </w:r>
      <w:r w:rsidR="004A734E" w:rsidRPr="00B52912">
        <w:rPr>
          <w:b/>
          <w:bCs/>
        </w:rPr>
        <w:t>arkets are forward looking</w:t>
      </w:r>
      <w:r w:rsidR="004A734E" w:rsidRPr="004A734E">
        <w:t xml:space="preserve">, so </w:t>
      </w:r>
      <w:r w:rsidR="00F43A7D" w:rsidRPr="004A734E">
        <w:t>it is</w:t>
      </w:r>
      <w:r w:rsidR="004A734E" w:rsidRPr="004A734E">
        <w:t xml:space="preserve"> likely they </w:t>
      </w:r>
      <w:r>
        <w:t>have</w:t>
      </w:r>
      <w:r w:rsidR="004A734E" w:rsidRPr="004A734E">
        <w:t xml:space="preserve"> </w:t>
      </w:r>
      <w:r w:rsidR="00B20C21">
        <w:t xml:space="preserve">not yet </w:t>
      </w:r>
      <w:r w:rsidRPr="00005474">
        <w:rPr>
          <w:b/>
          <w:bCs/>
        </w:rPr>
        <w:t>found</w:t>
      </w:r>
      <w:r w:rsidR="00B52912" w:rsidRPr="00005474">
        <w:rPr>
          <w:b/>
          <w:bCs/>
        </w:rPr>
        <w:t xml:space="preserve"> a</w:t>
      </w:r>
      <w:r w:rsidR="00B52912" w:rsidRPr="00A64C25">
        <w:rPr>
          <w:b/>
          <w:bCs/>
        </w:rPr>
        <w:t xml:space="preserve"> </w:t>
      </w:r>
      <w:r w:rsidR="00B20C21">
        <w:rPr>
          <w:b/>
          <w:bCs/>
        </w:rPr>
        <w:t xml:space="preserve">solid </w:t>
      </w:r>
      <w:r w:rsidR="00B52912" w:rsidRPr="00A64C25">
        <w:rPr>
          <w:b/>
          <w:bCs/>
        </w:rPr>
        <w:t xml:space="preserve">bottom </w:t>
      </w:r>
      <w:r w:rsidR="004A734E" w:rsidRPr="00A64C25">
        <w:rPr>
          <w:b/>
          <w:bCs/>
        </w:rPr>
        <w:t xml:space="preserve">and </w:t>
      </w:r>
      <w:r w:rsidR="00DF2504">
        <w:rPr>
          <w:b/>
          <w:bCs/>
        </w:rPr>
        <w:t>now see</w:t>
      </w:r>
      <w:r w:rsidR="00B20C21">
        <w:rPr>
          <w:b/>
          <w:bCs/>
        </w:rPr>
        <w:t xml:space="preserve">king evidence of </w:t>
      </w:r>
      <w:r w:rsidR="00DF2504">
        <w:rPr>
          <w:b/>
          <w:bCs/>
        </w:rPr>
        <w:t xml:space="preserve">what lies ahead. </w:t>
      </w:r>
      <w:r w:rsidR="00EF6467">
        <w:t>We</w:t>
      </w:r>
      <w:r w:rsidR="00F1304B">
        <w:t xml:space="preserve"> </w:t>
      </w:r>
      <w:r>
        <w:t xml:space="preserve">suspect we </w:t>
      </w:r>
      <w:r w:rsidR="00F1304B">
        <w:t>have</w:t>
      </w:r>
      <w:r w:rsidR="00EF6467">
        <w:t xml:space="preserve"> just</w:t>
      </w:r>
      <w:r w:rsidR="00F1304B">
        <w:t xml:space="preserve"> seen the start of that recovery process</w:t>
      </w:r>
      <w:r w:rsidR="00067753">
        <w:t xml:space="preserve"> and </w:t>
      </w:r>
      <w:r w:rsidR="00067753" w:rsidRPr="00DA7237">
        <w:rPr>
          <w:b/>
          <w:bCs/>
        </w:rPr>
        <w:t xml:space="preserve">the </w:t>
      </w:r>
      <w:r w:rsidR="00067753" w:rsidRPr="00067753">
        <w:rPr>
          <w:b/>
          <w:bCs/>
        </w:rPr>
        <w:t>recent volatility is simply the ebb and flow of markets</w:t>
      </w:r>
      <w:r w:rsidR="00067753">
        <w:t>.</w:t>
      </w:r>
    </w:p>
    <w:p w14:paraId="485625AC" w14:textId="32492DDB" w:rsidR="00DA7237" w:rsidRDefault="00B52912" w:rsidP="006E0DCD">
      <w:r>
        <w:t xml:space="preserve">Fingers crossed </w:t>
      </w:r>
      <w:r w:rsidR="004A1535">
        <w:t xml:space="preserve">monetary policy </w:t>
      </w:r>
      <w:r w:rsidR="00412A09">
        <w:t xml:space="preserve">direction </w:t>
      </w:r>
      <w:r w:rsidR="00513CA7">
        <w:t xml:space="preserve">remains </w:t>
      </w:r>
      <w:r w:rsidR="00DF2504">
        <w:t xml:space="preserve">accommodative and </w:t>
      </w:r>
      <w:r w:rsidR="00513CA7">
        <w:t xml:space="preserve">trending towards </w:t>
      </w:r>
      <w:r w:rsidR="00DF2504">
        <w:t>further</w:t>
      </w:r>
      <w:r w:rsidR="00513CA7">
        <w:t xml:space="preserve"> easing in the months ahead which hopefully, </w:t>
      </w:r>
      <w:r w:rsidR="00CB75C6">
        <w:t xml:space="preserve">will lead to </w:t>
      </w:r>
      <w:r w:rsidR="004A1535">
        <w:t xml:space="preserve">a </w:t>
      </w:r>
      <w:r w:rsidR="00733FAC">
        <w:t xml:space="preserve">moderation in prices </w:t>
      </w:r>
      <w:r w:rsidR="00CB75C6">
        <w:t xml:space="preserve">and </w:t>
      </w:r>
      <w:r w:rsidR="00922434">
        <w:t xml:space="preserve">the start of </w:t>
      </w:r>
      <w:r w:rsidR="00733FAC">
        <w:t xml:space="preserve">a more stable </w:t>
      </w:r>
      <w:r w:rsidR="00D06704">
        <w:t xml:space="preserve">global </w:t>
      </w:r>
      <w:r w:rsidR="00CB75C6">
        <w:t xml:space="preserve">growth </w:t>
      </w:r>
      <w:r w:rsidR="00733FAC">
        <w:t>platform</w:t>
      </w:r>
      <w:r w:rsidR="004B17FB">
        <w:t>.</w:t>
      </w:r>
      <w:r w:rsidR="00CB75C6">
        <w:t xml:space="preserve"> </w:t>
      </w:r>
    </w:p>
    <w:p w14:paraId="59ED9EB9" w14:textId="77777777" w:rsidR="00A51B7A" w:rsidRDefault="00A51B7A" w:rsidP="0090611C">
      <w:pPr>
        <w:rPr>
          <w:b/>
          <w:bCs/>
        </w:rPr>
      </w:pPr>
    </w:p>
    <w:p w14:paraId="0CAC2035" w14:textId="77777777" w:rsidR="00A51B7A" w:rsidRDefault="00A51B7A" w:rsidP="0090611C">
      <w:pPr>
        <w:rPr>
          <w:b/>
          <w:bCs/>
        </w:rPr>
      </w:pPr>
    </w:p>
    <w:p w14:paraId="6BC50913" w14:textId="77777777" w:rsidR="00A51B7A" w:rsidRDefault="00A51B7A" w:rsidP="0090611C">
      <w:pPr>
        <w:rPr>
          <w:b/>
          <w:bCs/>
        </w:rPr>
      </w:pPr>
    </w:p>
    <w:p w14:paraId="277A5B59" w14:textId="77777777" w:rsidR="00237BF2" w:rsidRDefault="00237BF2" w:rsidP="0090611C">
      <w:pPr>
        <w:rPr>
          <w:b/>
          <w:bCs/>
        </w:rPr>
      </w:pPr>
    </w:p>
    <w:p w14:paraId="20A62BEF" w14:textId="7E9C044C" w:rsidR="009E7EF6" w:rsidRPr="0002488F" w:rsidRDefault="009E7EF6" w:rsidP="0090611C">
      <w:pPr>
        <w:rPr>
          <w:b/>
          <w:bCs/>
        </w:rPr>
      </w:pPr>
      <w:r w:rsidRPr="0002488F">
        <w:rPr>
          <w:b/>
          <w:bCs/>
        </w:rPr>
        <w:t>Footnote</w:t>
      </w:r>
    </w:p>
    <w:p w14:paraId="458C9861" w14:textId="7722C30E" w:rsidR="00DE74A4" w:rsidRPr="000F52AB" w:rsidRDefault="009E7EF6" w:rsidP="00421DFB">
      <w:r w:rsidRPr="00A851EE">
        <w:rPr>
          <w:sz w:val="18"/>
        </w:rPr>
        <w:t xml:space="preserve">This market update written by Graham Fox for and on behalf of HNW Planning on </w:t>
      </w:r>
      <w:r w:rsidR="004A1535">
        <w:rPr>
          <w:sz w:val="18"/>
        </w:rPr>
        <w:t>1</w:t>
      </w:r>
      <w:r w:rsidR="00C263D7">
        <w:rPr>
          <w:sz w:val="18"/>
        </w:rPr>
        <w:t>7</w:t>
      </w:r>
      <w:r w:rsidRPr="00A851EE">
        <w:rPr>
          <w:sz w:val="18"/>
        </w:rPr>
        <w:t>/</w:t>
      </w:r>
      <w:r w:rsidR="00DD4708">
        <w:rPr>
          <w:sz w:val="18"/>
        </w:rPr>
        <w:t>0</w:t>
      </w:r>
      <w:r w:rsidR="00C263D7">
        <w:rPr>
          <w:sz w:val="18"/>
        </w:rPr>
        <w:t>6/</w:t>
      </w:r>
      <w:r w:rsidRPr="00A851EE">
        <w:rPr>
          <w:sz w:val="18"/>
        </w:rPr>
        <w:t>20</w:t>
      </w:r>
      <w:r w:rsidR="00E37E86">
        <w:rPr>
          <w:sz w:val="18"/>
        </w:rPr>
        <w:t>2</w:t>
      </w:r>
      <w:r w:rsidR="00DD4708">
        <w:rPr>
          <w:sz w:val="18"/>
        </w:rPr>
        <w:t>5</w:t>
      </w:r>
      <w:r w:rsidRPr="00A851EE">
        <w:rPr>
          <w:sz w:val="18"/>
        </w:rPr>
        <w:t>. Graham Fox is a</w:t>
      </w:r>
      <w:r w:rsidR="0057013D">
        <w:rPr>
          <w:sz w:val="18"/>
        </w:rPr>
        <w:t xml:space="preserve">n external asset consultant </w:t>
      </w:r>
      <w:r w:rsidRPr="00A851EE">
        <w:rPr>
          <w:sz w:val="18"/>
        </w:rPr>
        <w:t xml:space="preserve">and </w:t>
      </w:r>
      <w:r w:rsidR="0057013D">
        <w:rPr>
          <w:sz w:val="18"/>
        </w:rPr>
        <w:t xml:space="preserve">consults to the HNW Investment Committee. Graham </w:t>
      </w:r>
      <w:r w:rsidRPr="00A851EE">
        <w:rPr>
          <w:sz w:val="18"/>
        </w:rPr>
        <w:t>has enjoyed a career in financial services covering several private, corporate and investment banking institutions including, Genesys Wealth Advisers (research), Standard &amp; Poor’s Australia (fund ratings), Westpac Private Bank (research, strategy and product), Gold Link Capital (sales and marketing), Challenger Financial Services Group (COO asset management), Deutsche Funds Management (head of treasury), Canadian Imperial Bank of Commerce (regional head of FX), Banque Nationale de Paris, (F/X) and Commercial Bank of Australia (International and Treasury). Graham references material made available from HNW Planning’s' contracted research houses including Lonsec and Morningstar. </w:t>
      </w:r>
      <w:bookmarkEnd w:id="0"/>
    </w:p>
    <w:sectPr w:rsidR="00DE74A4" w:rsidRPr="000F52AB" w:rsidSect="00D94145">
      <w:footerReference w:type="default" r:id="rId22"/>
      <w:pgSz w:w="11906" w:h="16838" w:code="9"/>
      <w:pgMar w:top="2948" w:right="1440" w:bottom="2041" w:left="1440" w:header="102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388847" w14:textId="77777777" w:rsidR="00F313EF" w:rsidRDefault="00F313EF" w:rsidP="00EB28A8">
      <w:pPr>
        <w:spacing w:after="0" w:line="240" w:lineRule="auto"/>
      </w:pPr>
      <w:r>
        <w:separator/>
      </w:r>
    </w:p>
  </w:endnote>
  <w:endnote w:type="continuationSeparator" w:id="0">
    <w:p w14:paraId="68E03D50" w14:textId="77777777" w:rsidR="00F313EF" w:rsidRDefault="00F313EF" w:rsidP="00EB2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Trajan">
    <w:altName w:val="Cambria"/>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412822"/>
      <w:docPartObj>
        <w:docPartGallery w:val="Page Numbers (Bottom of Page)"/>
        <w:docPartUnique/>
      </w:docPartObj>
    </w:sdtPr>
    <w:sdtEndPr>
      <w:rPr>
        <w:color w:val="7F7F7F" w:themeColor="background1" w:themeShade="7F"/>
        <w:spacing w:val="60"/>
      </w:rPr>
    </w:sdtEndPr>
    <w:sdtContent>
      <w:p w14:paraId="50F119D0" w14:textId="1E7453DC" w:rsidR="00113FD7" w:rsidRDefault="00113FD7">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6F466587" w14:textId="77777777" w:rsidR="00113FD7" w:rsidRDefault="00113F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D20349" w14:textId="77777777" w:rsidR="00F313EF" w:rsidRDefault="00F313EF" w:rsidP="00EB28A8">
      <w:pPr>
        <w:spacing w:after="0" w:line="240" w:lineRule="auto"/>
      </w:pPr>
      <w:r>
        <w:separator/>
      </w:r>
    </w:p>
  </w:footnote>
  <w:footnote w:type="continuationSeparator" w:id="0">
    <w:p w14:paraId="7ED015D2" w14:textId="77777777" w:rsidR="00F313EF" w:rsidRDefault="00F313EF" w:rsidP="00EB28A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F"/>
    <w:multiLevelType w:val="singleLevel"/>
    <w:tmpl w:val="828E0880"/>
    <w:lvl w:ilvl="0">
      <w:start w:val="1"/>
      <w:numFmt w:val="lowerLetter"/>
      <w:pStyle w:val="ListNumber2"/>
      <w:lvlText w:val="%1)"/>
      <w:lvlJc w:val="left"/>
      <w:pPr>
        <w:ind w:left="643" w:hanging="360"/>
      </w:pPr>
    </w:lvl>
  </w:abstractNum>
  <w:abstractNum w:abstractNumId="1" w15:restartNumberingAfterBreak="0">
    <w:nsid w:val="FFFFFF83"/>
    <w:multiLevelType w:val="singleLevel"/>
    <w:tmpl w:val="E5C40D38"/>
    <w:lvl w:ilvl="0">
      <w:start w:val="1"/>
      <w:numFmt w:val="bullet"/>
      <w:pStyle w:val="ListBullet2"/>
      <w:lvlText w:val="–"/>
      <w:lvlJc w:val="left"/>
      <w:pPr>
        <w:ind w:left="643" w:hanging="360"/>
      </w:pPr>
      <w:rPr>
        <w:rFonts w:ascii="Calibri" w:hAnsi="Calibri" w:hint="default"/>
      </w:rPr>
    </w:lvl>
  </w:abstractNum>
  <w:abstractNum w:abstractNumId="2" w15:restartNumberingAfterBreak="0">
    <w:nsid w:val="FFFFFF88"/>
    <w:multiLevelType w:val="singleLevel"/>
    <w:tmpl w:val="E46CB6F2"/>
    <w:lvl w:ilvl="0">
      <w:start w:val="1"/>
      <w:numFmt w:val="decimal"/>
      <w:pStyle w:val="ListNumber"/>
      <w:lvlText w:val="%1."/>
      <w:lvlJc w:val="left"/>
      <w:pPr>
        <w:ind w:left="360" w:hanging="360"/>
      </w:pPr>
      <w:rPr>
        <w:rFonts w:hint="default"/>
        <w:b/>
        <w:i w:val="0"/>
      </w:rPr>
    </w:lvl>
  </w:abstractNum>
  <w:abstractNum w:abstractNumId="3" w15:restartNumberingAfterBreak="0">
    <w:nsid w:val="FFFFFF89"/>
    <w:multiLevelType w:val="singleLevel"/>
    <w:tmpl w:val="CAFCA22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A9F2A3D"/>
    <w:multiLevelType w:val="hybridMultilevel"/>
    <w:tmpl w:val="1E8E9B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78F4F47"/>
    <w:multiLevelType w:val="hybridMultilevel"/>
    <w:tmpl w:val="350EB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E96608F"/>
    <w:multiLevelType w:val="hybridMultilevel"/>
    <w:tmpl w:val="125A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122E26"/>
    <w:multiLevelType w:val="multilevel"/>
    <w:tmpl w:val="AE48833A"/>
    <w:lvl w:ilvl="0">
      <w:start w:val="1"/>
      <w:numFmt w:val="decimal"/>
      <w:lvlText w:val="%1"/>
      <w:lvlJc w:val="left"/>
      <w:pPr>
        <w:ind w:left="432" w:hanging="432"/>
      </w:pPr>
      <w:rPr>
        <w:color w:val="auto"/>
        <w:sz w:val="24"/>
      </w:rPr>
    </w:lvl>
    <w:lvl w:ilvl="1">
      <w:start w:val="1"/>
      <w:numFmt w:val="decimal"/>
      <w:pStyle w:val="Heading5"/>
      <w:lvlText w:val="%1.%2"/>
      <w:lvlJc w:val="left"/>
      <w:pPr>
        <w:ind w:left="576" w:hanging="576"/>
      </w:pPr>
    </w:lvl>
    <w:lvl w:ilvl="2">
      <w:start w:val="1"/>
      <w:numFmt w:val="decimal"/>
      <w:pStyle w:val="Heading6"/>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47500434"/>
    <w:multiLevelType w:val="hybridMultilevel"/>
    <w:tmpl w:val="F814A7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2E26C13"/>
    <w:multiLevelType w:val="hybridMultilevel"/>
    <w:tmpl w:val="B13A6E3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788160214">
    <w:abstractNumId w:val="7"/>
  </w:num>
  <w:num w:numId="2" w16cid:durableId="1643658398">
    <w:abstractNumId w:val="3"/>
  </w:num>
  <w:num w:numId="3" w16cid:durableId="84688565">
    <w:abstractNumId w:val="1"/>
  </w:num>
  <w:num w:numId="4" w16cid:durableId="708146902">
    <w:abstractNumId w:val="2"/>
  </w:num>
  <w:num w:numId="5" w16cid:durableId="1993243837">
    <w:abstractNumId w:val="0"/>
  </w:num>
  <w:num w:numId="6" w16cid:durableId="430129513">
    <w:abstractNumId w:val="4"/>
  </w:num>
  <w:num w:numId="7" w16cid:durableId="638262864">
    <w:abstractNumId w:val="8"/>
  </w:num>
  <w:num w:numId="8" w16cid:durableId="1542089249">
    <w:abstractNumId w:val="9"/>
  </w:num>
  <w:num w:numId="9" w16cid:durableId="562182118">
    <w:abstractNumId w:val="6"/>
  </w:num>
  <w:num w:numId="10" w16cid:durableId="1842425709">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efaultTableStyle w:val="HNWTable01"/>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A71"/>
    <w:rsid w:val="000006BC"/>
    <w:rsid w:val="00001072"/>
    <w:rsid w:val="00001213"/>
    <w:rsid w:val="000017A1"/>
    <w:rsid w:val="00001F8C"/>
    <w:rsid w:val="000035CC"/>
    <w:rsid w:val="00004613"/>
    <w:rsid w:val="00005474"/>
    <w:rsid w:val="00006CCB"/>
    <w:rsid w:val="000072B0"/>
    <w:rsid w:val="000073D1"/>
    <w:rsid w:val="00010B1D"/>
    <w:rsid w:val="00011A16"/>
    <w:rsid w:val="00012004"/>
    <w:rsid w:val="00012007"/>
    <w:rsid w:val="00012BF9"/>
    <w:rsid w:val="0001508D"/>
    <w:rsid w:val="00016329"/>
    <w:rsid w:val="000163D4"/>
    <w:rsid w:val="0001721E"/>
    <w:rsid w:val="000176D2"/>
    <w:rsid w:val="00017812"/>
    <w:rsid w:val="00017B34"/>
    <w:rsid w:val="0002084E"/>
    <w:rsid w:val="000218F1"/>
    <w:rsid w:val="0002201B"/>
    <w:rsid w:val="0002241D"/>
    <w:rsid w:val="00022971"/>
    <w:rsid w:val="00024249"/>
    <w:rsid w:val="0002488F"/>
    <w:rsid w:val="00025089"/>
    <w:rsid w:val="000256B8"/>
    <w:rsid w:val="0002765E"/>
    <w:rsid w:val="0002791C"/>
    <w:rsid w:val="000300E5"/>
    <w:rsid w:val="00030F8D"/>
    <w:rsid w:val="000310AB"/>
    <w:rsid w:val="0003150F"/>
    <w:rsid w:val="00034014"/>
    <w:rsid w:val="000357BE"/>
    <w:rsid w:val="00036FDA"/>
    <w:rsid w:val="00037046"/>
    <w:rsid w:val="00037BFE"/>
    <w:rsid w:val="000400CD"/>
    <w:rsid w:val="00040E36"/>
    <w:rsid w:val="0004117C"/>
    <w:rsid w:val="00041762"/>
    <w:rsid w:val="00042755"/>
    <w:rsid w:val="0004442A"/>
    <w:rsid w:val="00045650"/>
    <w:rsid w:val="000458E9"/>
    <w:rsid w:val="00046301"/>
    <w:rsid w:val="00046589"/>
    <w:rsid w:val="00046840"/>
    <w:rsid w:val="00046899"/>
    <w:rsid w:val="00050628"/>
    <w:rsid w:val="0005073D"/>
    <w:rsid w:val="00051004"/>
    <w:rsid w:val="00051451"/>
    <w:rsid w:val="000530FF"/>
    <w:rsid w:val="00053887"/>
    <w:rsid w:val="00054BDB"/>
    <w:rsid w:val="000558CB"/>
    <w:rsid w:val="00055F78"/>
    <w:rsid w:val="000566FA"/>
    <w:rsid w:val="0005674F"/>
    <w:rsid w:val="00056D53"/>
    <w:rsid w:val="0005797F"/>
    <w:rsid w:val="00060AB6"/>
    <w:rsid w:val="00061657"/>
    <w:rsid w:val="00062337"/>
    <w:rsid w:val="00063F3C"/>
    <w:rsid w:val="00066C19"/>
    <w:rsid w:val="00066E8A"/>
    <w:rsid w:val="00067753"/>
    <w:rsid w:val="000678BF"/>
    <w:rsid w:val="000678F3"/>
    <w:rsid w:val="00071486"/>
    <w:rsid w:val="00072B77"/>
    <w:rsid w:val="000732F1"/>
    <w:rsid w:val="00074A1A"/>
    <w:rsid w:val="000751E0"/>
    <w:rsid w:val="00076007"/>
    <w:rsid w:val="000764FC"/>
    <w:rsid w:val="00076FD3"/>
    <w:rsid w:val="00077B36"/>
    <w:rsid w:val="00077BE9"/>
    <w:rsid w:val="00080677"/>
    <w:rsid w:val="00080EAF"/>
    <w:rsid w:val="00082606"/>
    <w:rsid w:val="00082AC2"/>
    <w:rsid w:val="00083188"/>
    <w:rsid w:val="000832DC"/>
    <w:rsid w:val="00083932"/>
    <w:rsid w:val="00083A84"/>
    <w:rsid w:val="00084388"/>
    <w:rsid w:val="000848E7"/>
    <w:rsid w:val="00084D8F"/>
    <w:rsid w:val="00084E22"/>
    <w:rsid w:val="0008698B"/>
    <w:rsid w:val="0008740E"/>
    <w:rsid w:val="00090149"/>
    <w:rsid w:val="00090298"/>
    <w:rsid w:val="00090E25"/>
    <w:rsid w:val="00091262"/>
    <w:rsid w:val="00092611"/>
    <w:rsid w:val="00092751"/>
    <w:rsid w:val="00094875"/>
    <w:rsid w:val="00095523"/>
    <w:rsid w:val="00095963"/>
    <w:rsid w:val="00095BDA"/>
    <w:rsid w:val="0009606F"/>
    <w:rsid w:val="00096323"/>
    <w:rsid w:val="00096979"/>
    <w:rsid w:val="000A032D"/>
    <w:rsid w:val="000A08BF"/>
    <w:rsid w:val="000A1A15"/>
    <w:rsid w:val="000A26DE"/>
    <w:rsid w:val="000A36E7"/>
    <w:rsid w:val="000A3B2A"/>
    <w:rsid w:val="000A5F08"/>
    <w:rsid w:val="000A6FC0"/>
    <w:rsid w:val="000A7096"/>
    <w:rsid w:val="000A7345"/>
    <w:rsid w:val="000A7689"/>
    <w:rsid w:val="000A7727"/>
    <w:rsid w:val="000A7AA8"/>
    <w:rsid w:val="000A7ACA"/>
    <w:rsid w:val="000B03C8"/>
    <w:rsid w:val="000B053B"/>
    <w:rsid w:val="000B0DED"/>
    <w:rsid w:val="000B12C5"/>
    <w:rsid w:val="000B1350"/>
    <w:rsid w:val="000B1CC6"/>
    <w:rsid w:val="000B2129"/>
    <w:rsid w:val="000B2E0E"/>
    <w:rsid w:val="000B4170"/>
    <w:rsid w:val="000B4202"/>
    <w:rsid w:val="000B4548"/>
    <w:rsid w:val="000B4975"/>
    <w:rsid w:val="000B61C1"/>
    <w:rsid w:val="000B6FDD"/>
    <w:rsid w:val="000B7DF9"/>
    <w:rsid w:val="000B7FFA"/>
    <w:rsid w:val="000C04DA"/>
    <w:rsid w:val="000C0FBA"/>
    <w:rsid w:val="000C13E2"/>
    <w:rsid w:val="000C3188"/>
    <w:rsid w:val="000C3A04"/>
    <w:rsid w:val="000C3E55"/>
    <w:rsid w:val="000C548B"/>
    <w:rsid w:val="000C5E95"/>
    <w:rsid w:val="000C70D2"/>
    <w:rsid w:val="000C7672"/>
    <w:rsid w:val="000D016A"/>
    <w:rsid w:val="000D24CD"/>
    <w:rsid w:val="000D273A"/>
    <w:rsid w:val="000D2914"/>
    <w:rsid w:val="000D2BE8"/>
    <w:rsid w:val="000D2EF0"/>
    <w:rsid w:val="000D3366"/>
    <w:rsid w:val="000D44BE"/>
    <w:rsid w:val="000D4ED4"/>
    <w:rsid w:val="000D513F"/>
    <w:rsid w:val="000D5AC5"/>
    <w:rsid w:val="000D5E2E"/>
    <w:rsid w:val="000E2092"/>
    <w:rsid w:val="000E3566"/>
    <w:rsid w:val="000E3D09"/>
    <w:rsid w:val="000E45E4"/>
    <w:rsid w:val="000E7704"/>
    <w:rsid w:val="000F150B"/>
    <w:rsid w:val="000F2053"/>
    <w:rsid w:val="000F2A21"/>
    <w:rsid w:val="000F52AB"/>
    <w:rsid w:val="000F5F52"/>
    <w:rsid w:val="000F60F5"/>
    <w:rsid w:val="000F626C"/>
    <w:rsid w:val="000F6842"/>
    <w:rsid w:val="000F725D"/>
    <w:rsid w:val="000F7387"/>
    <w:rsid w:val="000F75CE"/>
    <w:rsid w:val="000F7783"/>
    <w:rsid w:val="000F7BDA"/>
    <w:rsid w:val="0010043C"/>
    <w:rsid w:val="00102BB6"/>
    <w:rsid w:val="00102E4C"/>
    <w:rsid w:val="0010573F"/>
    <w:rsid w:val="00105BCC"/>
    <w:rsid w:val="00105FA6"/>
    <w:rsid w:val="001066CC"/>
    <w:rsid w:val="00107049"/>
    <w:rsid w:val="00107166"/>
    <w:rsid w:val="001073CA"/>
    <w:rsid w:val="00107972"/>
    <w:rsid w:val="00107D5C"/>
    <w:rsid w:val="00110DCC"/>
    <w:rsid w:val="00110DCD"/>
    <w:rsid w:val="001112B5"/>
    <w:rsid w:val="00111526"/>
    <w:rsid w:val="00111862"/>
    <w:rsid w:val="00111AF6"/>
    <w:rsid w:val="00111F8D"/>
    <w:rsid w:val="001129D6"/>
    <w:rsid w:val="00113FD7"/>
    <w:rsid w:val="00114105"/>
    <w:rsid w:val="0011425F"/>
    <w:rsid w:val="001147D8"/>
    <w:rsid w:val="00114A2E"/>
    <w:rsid w:val="00114FC3"/>
    <w:rsid w:val="00115049"/>
    <w:rsid w:val="00115DDA"/>
    <w:rsid w:val="001163C3"/>
    <w:rsid w:val="0011715A"/>
    <w:rsid w:val="00117C94"/>
    <w:rsid w:val="00120449"/>
    <w:rsid w:val="001218BF"/>
    <w:rsid w:val="00122C58"/>
    <w:rsid w:val="00122E58"/>
    <w:rsid w:val="001239FB"/>
    <w:rsid w:val="00123F12"/>
    <w:rsid w:val="001243C9"/>
    <w:rsid w:val="001244F4"/>
    <w:rsid w:val="001257FA"/>
    <w:rsid w:val="00126DB8"/>
    <w:rsid w:val="00126E28"/>
    <w:rsid w:val="001308C8"/>
    <w:rsid w:val="00131EB9"/>
    <w:rsid w:val="001357C3"/>
    <w:rsid w:val="00136204"/>
    <w:rsid w:val="00136F68"/>
    <w:rsid w:val="00137324"/>
    <w:rsid w:val="001405F3"/>
    <w:rsid w:val="00140858"/>
    <w:rsid w:val="001415A2"/>
    <w:rsid w:val="00141B5E"/>
    <w:rsid w:val="00143062"/>
    <w:rsid w:val="001440B7"/>
    <w:rsid w:val="0014431E"/>
    <w:rsid w:val="00144655"/>
    <w:rsid w:val="001451A8"/>
    <w:rsid w:val="00145508"/>
    <w:rsid w:val="00147535"/>
    <w:rsid w:val="00147A28"/>
    <w:rsid w:val="00151102"/>
    <w:rsid w:val="0015130E"/>
    <w:rsid w:val="00153932"/>
    <w:rsid w:val="001542BF"/>
    <w:rsid w:val="001545AE"/>
    <w:rsid w:val="00154F9E"/>
    <w:rsid w:val="001558AE"/>
    <w:rsid w:val="00157AF8"/>
    <w:rsid w:val="001616BB"/>
    <w:rsid w:val="0016191A"/>
    <w:rsid w:val="00162A46"/>
    <w:rsid w:val="001632D6"/>
    <w:rsid w:val="00163B7D"/>
    <w:rsid w:val="001642D0"/>
    <w:rsid w:val="001643E3"/>
    <w:rsid w:val="001648D2"/>
    <w:rsid w:val="001652D3"/>
    <w:rsid w:val="0016721D"/>
    <w:rsid w:val="001708EB"/>
    <w:rsid w:val="00170FC0"/>
    <w:rsid w:val="00171550"/>
    <w:rsid w:val="00172116"/>
    <w:rsid w:val="00172387"/>
    <w:rsid w:val="001727F2"/>
    <w:rsid w:val="00173FB8"/>
    <w:rsid w:val="001740F6"/>
    <w:rsid w:val="00175A6F"/>
    <w:rsid w:val="001761C6"/>
    <w:rsid w:val="00176974"/>
    <w:rsid w:val="001777BF"/>
    <w:rsid w:val="00180236"/>
    <w:rsid w:val="001805DE"/>
    <w:rsid w:val="00181027"/>
    <w:rsid w:val="00182717"/>
    <w:rsid w:val="00183082"/>
    <w:rsid w:val="00183405"/>
    <w:rsid w:val="00183EDD"/>
    <w:rsid w:val="001846E3"/>
    <w:rsid w:val="00184AC2"/>
    <w:rsid w:val="00185A79"/>
    <w:rsid w:val="0018703E"/>
    <w:rsid w:val="00187537"/>
    <w:rsid w:val="00187989"/>
    <w:rsid w:val="001879ED"/>
    <w:rsid w:val="001907EB"/>
    <w:rsid w:val="00190B5B"/>
    <w:rsid w:val="00190C22"/>
    <w:rsid w:val="001918FE"/>
    <w:rsid w:val="00192082"/>
    <w:rsid w:val="001921CE"/>
    <w:rsid w:val="001928CD"/>
    <w:rsid w:val="001931DC"/>
    <w:rsid w:val="00193344"/>
    <w:rsid w:val="001934F4"/>
    <w:rsid w:val="00196E07"/>
    <w:rsid w:val="001979FC"/>
    <w:rsid w:val="00197B9B"/>
    <w:rsid w:val="001A141A"/>
    <w:rsid w:val="001A1F51"/>
    <w:rsid w:val="001A2453"/>
    <w:rsid w:val="001A2DA1"/>
    <w:rsid w:val="001A30BA"/>
    <w:rsid w:val="001A3D53"/>
    <w:rsid w:val="001A4083"/>
    <w:rsid w:val="001A7A42"/>
    <w:rsid w:val="001B06AA"/>
    <w:rsid w:val="001B08D3"/>
    <w:rsid w:val="001B0D6B"/>
    <w:rsid w:val="001B12A9"/>
    <w:rsid w:val="001B1664"/>
    <w:rsid w:val="001B3379"/>
    <w:rsid w:val="001B3923"/>
    <w:rsid w:val="001B6CB4"/>
    <w:rsid w:val="001B6DA8"/>
    <w:rsid w:val="001C03FC"/>
    <w:rsid w:val="001C3AA0"/>
    <w:rsid w:val="001C431B"/>
    <w:rsid w:val="001C4340"/>
    <w:rsid w:val="001C4744"/>
    <w:rsid w:val="001C4983"/>
    <w:rsid w:val="001C4A6F"/>
    <w:rsid w:val="001C51F1"/>
    <w:rsid w:val="001C5422"/>
    <w:rsid w:val="001C5785"/>
    <w:rsid w:val="001C5C1E"/>
    <w:rsid w:val="001C71C7"/>
    <w:rsid w:val="001C7E65"/>
    <w:rsid w:val="001D0CB0"/>
    <w:rsid w:val="001D1BE0"/>
    <w:rsid w:val="001D27DC"/>
    <w:rsid w:val="001D4157"/>
    <w:rsid w:val="001D48CC"/>
    <w:rsid w:val="001D4978"/>
    <w:rsid w:val="001D5F2A"/>
    <w:rsid w:val="001D6939"/>
    <w:rsid w:val="001E009D"/>
    <w:rsid w:val="001E0455"/>
    <w:rsid w:val="001E16AE"/>
    <w:rsid w:val="001E2B4C"/>
    <w:rsid w:val="001E2CD5"/>
    <w:rsid w:val="001E3557"/>
    <w:rsid w:val="001E3C77"/>
    <w:rsid w:val="001E5116"/>
    <w:rsid w:val="001E6018"/>
    <w:rsid w:val="001E6034"/>
    <w:rsid w:val="001E64FB"/>
    <w:rsid w:val="001E68EF"/>
    <w:rsid w:val="001E7507"/>
    <w:rsid w:val="001E7BB2"/>
    <w:rsid w:val="001F13BF"/>
    <w:rsid w:val="001F1609"/>
    <w:rsid w:val="001F1BB2"/>
    <w:rsid w:val="001F3311"/>
    <w:rsid w:val="001F3631"/>
    <w:rsid w:val="001F41C6"/>
    <w:rsid w:val="001F41D2"/>
    <w:rsid w:val="001F42E5"/>
    <w:rsid w:val="001F4978"/>
    <w:rsid w:val="001F5AAD"/>
    <w:rsid w:val="001F621B"/>
    <w:rsid w:val="001F699A"/>
    <w:rsid w:val="001F6BF7"/>
    <w:rsid w:val="001F7C3F"/>
    <w:rsid w:val="00200F95"/>
    <w:rsid w:val="00201A4D"/>
    <w:rsid w:val="002032E2"/>
    <w:rsid w:val="0020369D"/>
    <w:rsid w:val="00205A1C"/>
    <w:rsid w:val="002061AD"/>
    <w:rsid w:val="00206682"/>
    <w:rsid w:val="0021071B"/>
    <w:rsid w:val="00210AED"/>
    <w:rsid w:val="00211307"/>
    <w:rsid w:val="0021189B"/>
    <w:rsid w:val="00212403"/>
    <w:rsid w:val="00212697"/>
    <w:rsid w:val="00212D0A"/>
    <w:rsid w:val="00212DCC"/>
    <w:rsid w:val="00212FE4"/>
    <w:rsid w:val="002158C5"/>
    <w:rsid w:val="00216061"/>
    <w:rsid w:val="00216740"/>
    <w:rsid w:val="00216D19"/>
    <w:rsid w:val="00217339"/>
    <w:rsid w:val="00220A49"/>
    <w:rsid w:val="002214C5"/>
    <w:rsid w:val="0022166E"/>
    <w:rsid w:val="002218B5"/>
    <w:rsid w:val="00223BED"/>
    <w:rsid w:val="00224632"/>
    <w:rsid w:val="00225A8C"/>
    <w:rsid w:val="00225DE3"/>
    <w:rsid w:val="0022688A"/>
    <w:rsid w:val="00226C85"/>
    <w:rsid w:val="0022755C"/>
    <w:rsid w:val="00230A8F"/>
    <w:rsid w:val="0023164B"/>
    <w:rsid w:val="00232598"/>
    <w:rsid w:val="002339AC"/>
    <w:rsid w:val="00233D00"/>
    <w:rsid w:val="002344AE"/>
    <w:rsid w:val="00234D9D"/>
    <w:rsid w:val="002350CD"/>
    <w:rsid w:val="00235353"/>
    <w:rsid w:val="00235AFB"/>
    <w:rsid w:val="00236F73"/>
    <w:rsid w:val="002376A3"/>
    <w:rsid w:val="002378C4"/>
    <w:rsid w:val="00237BF2"/>
    <w:rsid w:val="00240594"/>
    <w:rsid w:val="0024149E"/>
    <w:rsid w:val="0024288B"/>
    <w:rsid w:val="00242925"/>
    <w:rsid w:val="002431FA"/>
    <w:rsid w:val="0024668D"/>
    <w:rsid w:val="00246A5B"/>
    <w:rsid w:val="00247C5F"/>
    <w:rsid w:val="00247E87"/>
    <w:rsid w:val="0025086B"/>
    <w:rsid w:val="002537E1"/>
    <w:rsid w:val="00254B16"/>
    <w:rsid w:val="0025538C"/>
    <w:rsid w:val="0025660A"/>
    <w:rsid w:val="00256EB9"/>
    <w:rsid w:val="002570D5"/>
    <w:rsid w:val="0025751D"/>
    <w:rsid w:val="00257621"/>
    <w:rsid w:val="00260221"/>
    <w:rsid w:val="00260264"/>
    <w:rsid w:val="00260D16"/>
    <w:rsid w:val="002616C9"/>
    <w:rsid w:val="002627B9"/>
    <w:rsid w:val="002645FE"/>
    <w:rsid w:val="00264F56"/>
    <w:rsid w:val="002656F2"/>
    <w:rsid w:val="002668D8"/>
    <w:rsid w:val="002671FD"/>
    <w:rsid w:val="00267CCC"/>
    <w:rsid w:val="002702CD"/>
    <w:rsid w:val="002702F6"/>
    <w:rsid w:val="00270718"/>
    <w:rsid w:val="002709A4"/>
    <w:rsid w:val="002710BC"/>
    <w:rsid w:val="002720B5"/>
    <w:rsid w:val="00272A52"/>
    <w:rsid w:val="00275C7E"/>
    <w:rsid w:val="00275E99"/>
    <w:rsid w:val="002761ED"/>
    <w:rsid w:val="002767D1"/>
    <w:rsid w:val="002770F6"/>
    <w:rsid w:val="002772F8"/>
    <w:rsid w:val="00277704"/>
    <w:rsid w:val="002777E9"/>
    <w:rsid w:val="0027780B"/>
    <w:rsid w:val="00277A42"/>
    <w:rsid w:val="002804E9"/>
    <w:rsid w:val="002809E4"/>
    <w:rsid w:val="00280EC0"/>
    <w:rsid w:val="00281A35"/>
    <w:rsid w:val="002828E4"/>
    <w:rsid w:val="00282C5F"/>
    <w:rsid w:val="00283F6D"/>
    <w:rsid w:val="00286876"/>
    <w:rsid w:val="00286877"/>
    <w:rsid w:val="00286B94"/>
    <w:rsid w:val="002903A6"/>
    <w:rsid w:val="002906FB"/>
    <w:rsid w:val="0029095D"/>
    <w:rsid w:val="00290B47"/>
    <w:rsid w:val="00291067"/>
    <w:rsid w:val="0029191E"/>
    <w:rsid w:val="00292333"/>
    <w:rsid w:val="00292B38"/>
    <w:rsid w:val="0029438A"/>
    <w:rsid w:val="00294D11"/>
    <w:rsid w:val="00295134"/>
    <w:rsid w:val="00295529"/>
    <w:rsid w:val="00295617"/>
    <w:rsid w:val="00296293"/>
    <w:rsid w:val="00296984"/>
    <w:rsid w:val="00296BDA"/>
    <w:rsid w:val="00296C83"/>
    <w:rsid w:val="002977F8"/>
    <w:rsid w:val="002A02F8"/>
    <w:rsid w:val="002A13EC"/>
    <w:rsid w:val="002A21DA"/>
    <w:rsid w:val="002A26A5"/>
    <w:rsid w:val="002A56C3"/>
    <w:rsid w:val="002A71FA"/>
    <w:rsid w:val="002B052C"/>
    <w:rsid w:val="002B2B13"/>
    <w:rsid w:val="002B2ED2"/>
    <w:rsid w:val="002B3BBC"/>
    <w:rsid w:val="002B45E9"/>
    <w:rsid w:val="002B4AC0"/>
    <w:rsid w:val="002B4F5F"/>
    <w:rsid w:val="002B56F0"/>
    <w:rsid w:val="002B61FC"/>
    <w:rsid w:val="002B74FE"/>
    <w:rsid w:val="002B7C51"/>
    <w:rsid w:val="002B7F2F"/>
    <w:rsid w:val="002C183C"/>
    <w:rsid w:val="002C1AD6"/>
    <w:rsid w:val="002C1D4B"/>
    <w:rsid w:val="002C2046"/>
    <w:rsid w:val="002C2064"/>
    <w:rsid w:val="002C3A77"/>
    <w:rsid w:val="002C4839"/>
    <w:rsid w:val="002C4C84"/>
    <w:rsid w:val="002C6C3E"/>
    <w:rsid w:val="002D0C17"/>
    <w:rsid w:val="002D1C33"/>
    <w:rsid w:val="002D21A1"/>
    <w:rsid w:val="002D285D"/>
    <w:rsid w:val="002D47EA"/>
    <w:rsid w:val="002D4F09"/>
    <w:rsid w:val="002D4FBF"/>
    <w:rsid w:val="002D53B9"/>
    <w:rsid w:val="002D5D13"/>
    <w:rsid w:val="002D7C21"/>
    <w:rsid w:val="002D7EED"/>
    <w:rsid w:val="002E1A3F"/>
    <w:rsid w:val="002E1D59"/>
    <w:rsid w:val="002E2AE9"/>
    <w:rsid w:val="002E3192"/>
    <w:rsid w:val="002E391C"/>
    <w:rsid w:val="002E535D"/>
    <w:rsid w:val="002E6845"/>
    <w:rsid w:val="002E7897"/>
    <w:rsid w:val="002E79D5"/>
    <w:rsid w:val="002F043F"/>
    <w:rsid w:val="002F0E91"/>
    <w:rsid w:val="002F2CC6"/>
    <w:rsid w:val="002F3360"/>
    <w:rsid w:val="002F4071"/>
    <w:rsid w:val="002F45CF"/>
    <w:rsid w:val="002F5933"/>
    <w:rsid w:val="002F59EA"/>
    <w:rsid w:val="002F5F70"/>
    <w:rsid w:val="003006BF"/>
    <w:rsid w:val="00300938"/>
    <w:rsid w:val="00300FD9"/>
    <w:rsid w:val="00301330"/>
    <w:rsid w:val="00301803"/>
    <w:rsid w:val="00301F84"/>
    <w:rsid w:val="003033AC"/>
    <w:rsid w:val="003045BD"/>
    <w:rsid w:val="0030556E"/>
    <w:rsid w:val="00310DA6"/>
    <w:rsid w:val="00311F31"/>
    <w:rsid w:val="00314A61"/>
    <w:rsid w:val="00315A24"/>
    <w:rsid w:val="0031645E"/>
    <w:rsid w:val="00316AE6"/>
    <w:rsid w:val="00317447"/>
    <w:rsid w:val="0032154C"/>
    <w:rsid w:val="003215F3"/>
    <w:rsid w:val="0032174E"/>
    <w:rsid w:val="0032180A"/>
    <w:rsid w:val="0032239E"/>
    <w:rsid w:val="00322449"/>
    <w:rsid w:val="003233E3"/>
    <w:rsid w:val="0032364A"/>
    <w:rsid w:val="00324270"/>
    <w:rsid w:val="00324676"/>
    <w:rsid w:val="00325ABE"/>
    <w:rsid w:val="00327054"/>
    <w:rsid w:val="00327397"/>
    <w:rsid w:val="00327D51"/>
    <w:rsid w:val="00334DDF"/>
    <w:rsid w:val="003351AA"/>
    <w:rsid w:val="003354DA"/>
    <w:rsid w:val="00336EB2"/>
    <w:rsid w:val="0033779B"/>
    <w:rsid w:val="0034094D"/>
    <w:rsid w:val="00340966"/>
    <w:rsid w:val="00341254"/>
    <w:rsid w:val="003417AB"/>
    <w:rsid w:val="00342370"/>
    <w:rsid w:val="00342FD6"/>
    <w:rsid w:val="00343260"/>
    <w:rsid w:val="00343D6F"/>
    <w:rsid w:val="00343D9A"/>
    <w:rsid w:val="00343E9E"/>
    <w:rsid w:val="00344103"/>
    <w:rsid w:val="00344C09"/>
    <w:rsid w:val="00347610"/>
    <w:rsid w:val="00347702"/>
    <w:rsid w:val="003506C8"/>
    <w:rsid w:val="00350F9A"/>
    <w:rsid w:val="00351B55"/>
    <w:rsid w:val="00351D12"/>
    <w:rsid w:val="003549B1"/>
    <w:rsid w:val="00354CB7"/>
    <w:rsid w:val="003554FF"/>
    <w:rsid w:val="00355670"/>
    <w:rsid w:val="003565BB"/>
    <w:rsid w:val="00357BF9"/>
    <w:rsid w:val="00360014"/>
    <w:rsid w:val="003619D7"/>
    <w:rsid w:val="00361F1A"/>
    <w:rsid w:val="00362297"/>
    <w:rsid w:val="003627B9"/>
    <w:rsid w:val="00362B54"/>
    <w:rsid w:val="00363813"/>
    <w:rsid w:val="003638C4"/>
    <w:rsid w:val="00363A88"/>
    <w:rsid w:val="00363E96"/>
    <w:rsid w:val="00364070"/>
    <w:rsid w:val="003644E7"/>
    <w:rsid w:val="00364A2C"/>
    <w:rsid w:val="00365313"/>
    <w:rsid w:val="00365400"/>
    <w:rsid w:val="003654CD"/>
    <w:rsid w:val="00365C86"/>
    <w:rsid w:val="00366EA8"/>
    <w:rsid w:val="0037124B"/>
    <w:rsid w:val="00371397"/>
    <w:rsid w:val="00371A50"/>
    <w:rsid w:val="0037282C"/>
    <w:rsid w:val="00372AF5"/>
    <w:rsid w:val="00373E37"/>
    <w:rsid w:val="00374B13"/>
    <w:rsid w:val="00375195"/>
    <w:rsid w:val="003757D8"/>
    <w:rsid w:val="00377B5C"/>
    <w:rsid w:val="00377E57"/>
    <w:rsid w:val="003824D8"/>
    <w:rsid w:val="00382C31"/>
    <w:rsid w:val="00382D5C"/>
    <w:rsid w:val="00383326"/>
    <w:rsid w:val="00384D05"/>
    <w:rsid w:val="00384EB8"/>
    <w:rsid w:val="00385571"/>
    <w:rsid w:val="00387428"/>
    <w:rsid w:val="00387588"/>
    <w:rsid w:val="00387C8F"/>
    <w:rsid w:val="00390B93"/>
    <w:rsid w:val="00390D33"/>
    <w:rsid w:val="0039159F"/>
    <w:rsid w:val="00391BC9"/>
    <w:rsid w:val="00391CDC"/>
    <w:rsid w:val="00391D85"/>
    <w:rsid w:val="0039208C"/>
    <w:rsid w:val="003921E8"/>
    <w:rsid w:val="00395F1F"/>
    <w:rsid w:val="00396B3C"/>
    <w:rsid w:val="003976EE"/>
    <w:rsid w:val="00397D87"/>
    <w:rsid w:val="003A0E97"/>
    <w:rsid w:val="003A1040"/>
    <w:rsid w:val="003A1746"/>
    <w:rsid w:val="003A198B"/>
    <w:rsid w:val="003A45E2"/>
    <w:rsid w:val="003A4B00"/>
    <w:rsid w:val="003A4B8F"/>
    <w:rsid w:val="003A4ED2"/>
    <w:rsid w:val="003A7241"/>
    <w:rsid w:val="003A7C20"/>
    <w:rsid w:val="003B014A"/>
    <w:rsid w:val="003B086D"/>
    <w:rsid w:val="003B094A"/>
    <w:rsid w:val="003B1467"/>
    <w:rsid w:val="003B1919"/>
    <w:rsid w:val="003B24A2"/>
    <w:rsid w:val="003B2545"/>
    <w:rsid w:val="003B4810"/>
    <w:rsid w:val="003B5A2E"/>
    <w:rsid w:val="003B5C51"/>
    <w:rsid w:val="003C0A02"/>
    <w:rsid w:val="003C15AC"/>
    <w:rsid w:val="003C1B17"/>
    <w:rsid w:val="003C1DA4"/>
    <w:rsid w:val="003C1EAF"/>
    <w:rsid w:val="003C23F8"/>
    <w:rsid w:val="003C26EF"/>
    <w:rsid w:val="003C279F"/>
    <w:rsid w:val="003C4073"/>
    <w:rsid w:val="003C40F3"/>
    <w:rsid w:val="003C5147"/>
    <w:rsid w:val="003C5324"/>
    <w:rsid w:val="003C5801"/>
    <w:rsid w:val="003C6F2D"/>
    <w:rsid w:val="003C727F"/>
    <w:rsid w:val="003D0503"/>
    <w:rsid w:val="003D19F1"/>
    <w:rsid w:val="003D2CC1"/>
    <w:rsid w:val="003D5229"/>
    <w:rsid w:val="003D78AB"/>
    <w:rsid w:val="003E1682"/>
    <w:rsid w:val="003E1A6E"/>
    <w:rsid w:val="003E1E0A"/>
    <w:rsid w:val="003E1FA0"/>
    <w:rsid w:val="003E2AA4"/>
    <w:rsid w:val="003E37EE"/>
    <w:rsid w:val="003E3E67"/>
    <w:rsid w:val="003E5CBD"/>
    <w:rsid w:val="003E66A5"/>
    <w:rsid w:val="003E7BC7"/>
    <w:rsid w:val="003F0516"/>
    <w:rsid w:val="003F48A6"/>
    <w:rsid w:val="003F4C03"/>
    <w:rsid w:val="003F5122"/>
    <w:rsid w:val="003F6017"/>
    <w:rsid w:val="003F65C3"/>
    <w:rsid w:val="003F6F54"/>
    <w:rsid w:val="003F73CE"/>
    <w:rsid w:val="0040095F"/>
    <w:rsid w:val="004010C2"/>
    <w:rsid w:val="004015A8"/>
    <w:rsid w:val="00401C8C"/>
    <w:rsid w:val="00402816"/>
    <w:rsid w:val="00402FB6"/>
    <w:rsid w:val="00403EC7"/>
    <w:rsid w:val="0040427A"/>
    <w:rsid w:val="00404E3B"/>
    <w:rsid w:val="00406C35"/>
    <w:rsid w:val="004100BF"/>
    <w:rsid w:val="0041035D"/>
    <w:rsid w:val="004104F2"/>
    <w:rsid w:val="00410F37"/>
    <w:rsid w:val="00411B92"/>
    <w:rsid w:val="00412A09"/>
    <w:rsid w:val="00412F4F"/>
    <w:rsid w:val="00413B5A"/>
    <w:rsid w:val="004142D5"/>
    <w:rsid w:val="00414ED3"/>
    <w:rsid w:val="00415E0C"/>
    <w:rsid w:val="004179B2"/>
    <w:rsid w:val="00417E26"/>
    <w:rsid w:val="0042074A"/>
    <w:rsid w:val="00421DFB"/>
    <w:rsid w:val="0042291E"/>
    <w:rsid w:val="004230B4"/>
    <w:rsid w:val="004235F3"/>
    <w:rsid w:val="00423D97"/>
    <w:rsid w:val="0042486D"/>
    <w:rsid w:val="00425300"/>
    <w:rsid w:val="00425BFB"/>
    <w:rsid w:val="004273DE"/>
    <w:rsid w:val="00427E64"/>
    <w:rsid w:val="00427F92"/>
    <w:rsid w:val="00430529"/>
    <w:rsid w:val="00430D76"/>
    <w:rsid w:val="004322E9"/>
    <w:rsid w:val="00432B90"/>
    <w:rsid w:val="00433E2E"/>
    <w:rsid w:val="00433FF5"/>
    <w:rsid w:val="004346A4"/>
    <w:rsid w:val="004358E1"/>
    <w:rsid w:val="00435B82"/>
    <w:rsid w:val="00435C10"/>
    <w:rsid w:val="00435DC7"/>
    <w:rsid w:val="004361BB"/>
    <w:rsid w:val="00436ACA"/>
    <w:rsid w:val="00436EB4"/>
    <w:rsid w:val="004405E5"/>
    <w:rsid w:val="00440D16"/>
    <w:rsid w:val="00440D3D"/>
    <w:rsid w:val="004429BF"/>
    <w:rsid w:val="00442AE0"/>
    <w:rsid w:val="00443C00"/>
    <w:rsid w:val="00443F3F"/>
    <w:rsid w:val="00444784"/>
    <w:rsid w:val="00446119"/>
    <w:rsid w:val="0044661F"/>
    <w:rsid w:val="0044689A"/>
    <w:rsid w:val="00451632"/>
    <w:rsid w:val="0045168D"/>
    <w:rsid w:val="00453990"/>
    <w:rsid w:val="00455665"/>
    <w:rsid w:val="004569FB"/>
    <w:rsid w:val="00456B36"/>
    <w:rsid w:val="00457450"/>
    <w:rsid w:val="00457684"/>
    <w:rsid w:val="00457A4B"/>
    <w:rsid w:val="00457E31"/>
    <w:rsid w:val="00460F76"/>
    <w:rsid w:val="0046215F"/>
    <w:rsid w:val="00462D34"/>
    <w:rsid w:val="004638A4"/>
    <w:rsid w:val="004640D3"/>
    <w:rsid w:val="00464732"/>
    <w:rsid w:val="00465805"/>
    <w:rsid w:val="00466DD5"/>
    <w:rsid w:val="0046724E"/>
    <w:rsid w:val="00467F44"/>
    <w:rsid w:val="00470576"/>
    <w:rsid w:val="0047424F"/>
    <w:rsid w:val="00474E5B"/>
    <w:rsid w:val="004755DB"/>
    <w:rsid w:val="00476A74"/>
    <w:rsid w:val="00476B80"/>
    <w:rsid w:val="00476E00"/>
    <w:rsid w:val="00480CA9"/>
    <w:rsid w:val="00481A71"/>
    <w:rsid w:val="00481C63"/>
    <w:rsid w:val="00482044"/>
    <w:rsid w:val="00482A79"/>
    <w:rsid w:val="00483077"/>
    <w:rsid w:val="00484BBB"/>
    <w:rsid w:val="00485257"/>
    <w:rsid w:val="0048590B"/>
    <w:rsid w:val="00486C5D"/>
    <w:rsid w:val="00486CF9"/>
    <w:rsid w:val="0048717C"/>
    <w:rsid w:val="004873E0"/>
    <w:rsid w:val="004874EC"/>
    <w:rsid w:val="004877F5"/>
    <w:rsid w:val="00487E51"/>
    <w:rsid w:val="004902C7"/>
    <w:rsid w:val="004908E9"/>
    <w:rsid w:val="00490C51"/>
    <w:rsid w:val="00490C6B"/>
    <w:rsid w:val="004915C5"/>
    <w:rsid w:val="004916DD"/>
    <w:rsid w:val="0049196F"/>
    <w:rsid w:val="004922DA"/>
    <w:rsid w:val="0049413E"/>
    <w:rsid w:val="00494DCF"/>
    <w:rsid w:val="00495728"/>
    <w:rsid w:val="00495A64"/>
    <w:rsid w:val="00495E72"/>
    <w:rsid w:val="004965C1"/>
    <w:rsid w:val="00496B7E"/>
    <w:rsid w:val="00496E5B"/>
    <w:rsid w:val="00497862"/>
    <w:rsid w:val="004A017F"/>
    <w:rsid w:val="004A0AD6"/>
    <w:rsid w:val="004A0B93"/>
    <w:rsid w:val="004A1535"/>
    <w:rsid w:val="004A1AC0"/>
    <w:rsid w:val="004A252E"/>
    <w:rsid w:val="004A34E4"/>
    <w:rsid w:val="004A3955"/>
    <w:rsid w:val="004A4F77"/>
    <w:rsid w:val="004A6010"/>
    <w:rsid w:val="004A734E"/>
    <w:rsid w:val="004B064A"/>
    <w:rsid w:val="004B0A40"/>
    <w:rsid w:val="004B0FB5"/>
    <w:rsid w:val="004B1467"/>
    <w:rsid w:val="004B17FB"/>
    <w:rsid w:val="004B1D18"/>
    <w:rsid w:val="004B2806"/>
    <w:rsid w:val="004B32E4"/>
    <w:rsid w:val="004B3368"/>
    <w:rsid w:val="004B4415"/>
    <w:rsid w:val="004B469E"/>
    <w:rsid w:val="004B57B4"/>
    <w:rsid w:val="004B588D"/>
    <w:rsid w:val="004B7BB6"/>
    <w:rsid w:val="004C033E"/>
    <w:rsid w:val="004C1112"/>
    <w:rsid w:val="004C3B67"/>
    <w:rsid w:val="004C3C46"/>
    <w:rsid w:val="004C3E27"/>
    <w:rsid w:val="004C4389"/>
    <w:rsid w:val="004C5407"/>
    <w:rsid w:val="004C5474"/>
    <w:rsid w:val="004C59B2"/>
    <w:rsid w:val="004C5B3F"/>
    <w:rsid w:val="004C691E"/>
    <w:rsid w:val="004C7794"/>
    <w:rsid w:val="004D2256"/>
    <w:rsid w:val="004D2754"/>
    <w:rsid w:val="004D2D2C"/>
    <w:rsid w:val="004D2D52"/>
    <w:rsid w:val="004D3302"/>
    <w:rsid w:val="004D41D8"/>
    <w:rsid w:val="004D6B2B"/>
    <w:rsid w:val="004E0473"/>
    <w:rsid w:val="004E0B8E"/>
    <w:rsid w:val="004E0CA0"/>
    <w:rsid w:val="004E10E7"/>
    <w:rsid w:val="004E1C4A"/>
    <w:rsid w:val="004E1EAE"/>
    <w:rsid w:val="004E3C80"/>
    <w:rsid w:val="004E55EC"/>
    <w:rsid w:val="004E5EE3"/>
    <w:rsid w:val="004E6F25"/>
    <w:rsid w:val="004F2054"/>
    <w:rsid w:val="004F220F"/>
    <w:rsid w:val="004F550F"/>
    <w:rsid w:val="004F55FF"/>
    <w:rsid w:val="004F5AB5"/>
    <w:rsid w:val="004F635E"/>
    <w:rsid w:val="004F6E39"/>
    <w:rsid w:val="004F7659"/>
    <w:rsid w:val="005016B1"/>
    <w:rsid w:val="00502D7A"/>
    <w:rsid w:val="00502DA1"/>
    <w:rsid w:val="00503B0B"/>
    <w:rsid w:val="00503D92"/>
    <w:rsid w:val="0050466F"/>
    <w:rsid w:val="00504D3F"/>
    <w:rsid w:val="00505747"/>
    <w:rsid w:val="0050634B"/>
    <w:rsid w:val="00506ACC"/>
    <w:rsid w:val="00512FA6"/>
    <w:rsid w:val="00513CA7"/>
    <w:rsid w:val="0051525A"/>
    <w:rsid w:val="0051583F"/>
    <w:rsid w:val="00515B71"/>
    <w:rsid w:val="00516171"/>
    <w:rsid w:val="005200E9"/>
    <w:rsid w:val="00520587"/>
    <w:rsid w:val="005220BA"/>
    <w:rsid w:val="00522105"/>
    <w:rsid w:val="0052476C"/>
    <w:rsid w:val="005247E5"/>
    <w:rsid w:val="00524F93"/>
    <w:rsid w:val="00525709"/>
    <w:rsid w:val="005260FF"/>
    <w:rsid w:val="0052688B"/>
    <w:rsid w:val="00526D92"/>
    <w:rsid w:val="0053028C"/>
    <w:rsid w:val="00531B6C"/>
    <w:rsid w:val="00531BEC"/>
    <w:rsid w:val="00531C8B"/>
    <w:rsid w:val="00531DCA"/>
    <w:rsid w:val="00531DDE"/>
    <w:rsid w:val="00531E33"/>
    <w:rsid w:val="00532727"/>
    <w:rsid w:val="00533128"/>
    <w:rsid w:val="00533474"/>
    <w:rsid w:val="00534091"/>
    <w:rsid w:val="00535767"/>
    <w:rsid w:val="00535FD4"/>
    <w:rsid w:val="0053717F"/>
    <w:rsid w:val="0054112A"/>
    <w:rsid w:val="00541B53"/>
    <w:rsid w:val="00544647"/>
    <w:rsid w:val="00546F37"/>
    <w:rsid w:val="00547547"/>
    <w:rsid w:val="0054797D"/>
    <w:rsid w:val="00551607"/>
    <w:rsid w:val="005539C2"/>
    <w:rsid w:val="00553B02"/>
    <w:rsid w:val="00554A8E"/>
    <w:rsid w:val="0055685E"/>
    <w:rsid w:val="00556DF4"/>
    <w:rsid w:val="00557108"/>
    <w:rsid w:val="005576E2"/>
    <w:rsid w:val="005605BD"/>
    <w:rsid w:val="0056120E"/>
    <w:rsid w:val="00561D42"/>
    <w:rsid w:val="00562B59"/>
    <w:rsid w:val="0056303E"/>
    <w:rsid w:val="005640AF"/>
    <w:rsid w:val="005647E0"/>
    <w:rsid w:val="00566739"/>
    <w:rsid w:val="0056697E"/>
    <w:rsid w:val="00566A53"/>
    <w:rsid w:val="0056717A"/>
    <w:rsid w:val="005672D8"/>
    <w:rsid w:val="0057013D"/>
    <w:rsid w:val="00570259"/>
    <w:rsid w:val="0057102E"/>
    <w:rsid w:val="00572231"/>
    <w:rsid w:val="0057277D"/>
    <w:rsid w:val="00573652"/>
    <w:rsid w:val="00573661"/>
    <w:rsid w:val="005737CD"/>
    <w:rsid w:val="005738C3"/>
    <w:rsid w:val="00574A05"/>
    <w:rsid w:val="00574F6A"/>
    <w:rsid w:val="005769A7"/>
    <w:rsid w:val="005775E2"/>
    <w:rsid w:val="0058031F"/>
    <w:rsid w:val="00580A95"/>
    <w:rsid w:val="00581A97"/>
    <w:rsid w:val="00581C28"/>
    <w:rsid w:val="00584251"/>
    <w:rsid w:val="00584462"/>
    <w:rsid w:val="00584C81"/>
    <w:rsid w:val="005851AB"/>
    <w:rsid w:val="0058542D"/>
    <w:rsid w:val="00585652"/>
    <w:rsid w:val="005860E8"/>
    <w:rsid w:val="0058617A"/>
    <w:rsid w:val="0058737E"/>
    <w:rsid w:val="0058757B"/>
    <w:rsid w:val="0059008A"/>
    <w:rsid w:val="005909DA"/>
    <w:rsid w:val="00590B4A"/>
    <w:rsid w:val="00590E49"/>
    <w:rsid w:val="00591D87"/>
    <w:rsid w:val="005929BA"/>
    <w:rsid w:val="0059308D"/>
    <w:rsid w:val="005938A8"/>
    <w:rsid w:val="00593BD3"/>
    <w:rsid w:val="005952CF"/>
    <w:rsid w:val="00596604"/>
    <w:rsid w:val="00596BAB"/>
    <w:rsid w:val="005970B1"/>
    <w:rsid w:val="005A0490"/>
    <w:rsid w:val="005A1647"/>
    <w:rsid w:val="005A415E"/>
    <w:rsid w:val="005A428D"/>
    <w:rsid w:val="005A463B"/>
    <w:rsid w:val="005A4ABD"/>
    <w:rsid w:val="005A4CB4"/>
    <w:rsid w:val="005A5F3D"/>
    <w:rsid w:val="005A7426"/>
    <w:rsid w:val="005A7F4E"/>
    <w:rsid w:val="005B03C8"/>
    <w:rsid w:val="005B0D06"/>
    <w:rsid w:val="005B0EA0"/>
    <w:rsid w:val="005B10EE"/>
    <w:rsid w:val="005B21DD"/>
    <w:rsid w:val="005B4281"/>
    <w:rsid w:val="005B45E9"/>
    <w:rsid w:val="005B5116"/>
    <w:rsid w:val="005B5798"/>
    <w:rsid w:val="005B5EF1"/>
    <w:rsid w:val="005B6584"/>
    <w:rsid w:val="005B7424"/>
    <w:rsid w:val="005B759C"/>
    <w:rsid w:val="005C0E2A"/>
    <w:rsid w:val="005C0E5C"/>
    <w:rsid w:val="005C178D"/>
    <w:rsid w:val="005C2609"/>
    <w:rsid w:val="005C2B9A"/>
    <w:rsid w:val="005C4645"/>
    <w:rsid w:val="005C5CC9"/>
    <w:rsid w:val="005C5CE5"/>
    <w:rsid w:val="005C6797"/>
    <w:rsid w:val="005C691D"/>
    <w:rsid w:val="005D2435"/>
    <w:rsid w:val="005D2FDE"/>
    <w:rsid w:val="005D30D3"/>
    <w:rsid w:val="005D3711"/>
    <w:rsid w:val="005D39A1"/>
    <w:rsid w:val="005D39F6"/>
    <w:rsid w:val="005D4428"/>
    <w:rsid w:val="005D57B1"/>
    <w:rsid w:val="005D6DB2"/>
    <w:rsid w:val="005D6E32"/>
    <w:rsid w:val="005D779E"/>
    <w:rsid w:val="005D7E5A"/>
    <w:rsid w:val="005E0607"/>
    <w:rsid w:val="005E1E51"/>
    <w:rsid w:val="005E2C87"/>
    <w:rsid w:val="005E2FB8"/>
    <w:rsid w:val="005E4197"/>
    <w:rsid w:val="005E4C49"/>
    <w:rsid w:val="005E629C"/>
    <w:rsid w:val="005E6B6B"/>
    <w:rsid w:val="005E7342"/>
    <w:rsid w:val="005E768C"/>
    <w:rsid w:val="005F118A"/>
    <w:rsid w:val="005F1AE1"/>
    <w:rsid w:val="005F1D32"/>
    <w:rsid w:val="005F1E09"/>
    <w:rsid w:val="005F21FA"/>
    <w:rsid w:val="005F2B90"/>
    <w:rsid w:val="005F32AC"/>
    <w:rsid w:val="005F339C"/>
    <w:rsid w:val="005F55AE"/>
    <w:rsid w:val="005F56CF"/>
    <w:rsid w:val="005F6778"/>
    <w:rsid w:val="005F6840"/>
    <w:rsid w:val="005F77DD"/>
    <w:rsid w:val="00600E34"/>
    <w:rsid w:val="00600EF9"/>
    <w:rsid w:val="00601243"/>
    <w:rsid w:val="00601375"/>
    <w:rsid w:val="00601B35"/>
    <w:rsid w:val="00602CCD"/>
    <w:rsid w:val="00603004"/>
    <w:rsid w:val="006034A7"/>
    <w:rsid w:val="00604496"/>
    <w:rsid w:val="00604820"/>
    <w:rsid w:val="006058FC"/>
    <w:rsid w:val="00606D43"/>
    <w:rsid w:val="006075EB"/>
    <w:rsid w:val="006078FE"/>
    <w:rsid w:val="00610539"/>
    <w:rsid w:val="006115D6"/>
    <w:rsid w:val="00612A0A"/>
    <w:rsid w:val="00612CDE"/>
    <w:rsid w:val="006135A2"/>
    <w:rsid w:val="00613E26"/>
    <w:rsid w:val="00614006"/>
    <w:rsid w:val="00614A99"/>
    <w:rsid w:val="0061626F"/>
    <w:rsid w:val="00616433"/>
    <w:rsid w:val="006167B3"/>
    <w:rsid w:val="00617146"/>
    <w:rsid w:val="0061725F"/>
    <w:rsid w:val="0062022A"/>
    <w:rsid w:val="0062128C"/>
    <w:rsid w:val="006218F3"/>
    <w:rsid w:val="0062338B"/>
    <w:rsid w:val="006237DD"/>
    <w:rsid w:val="00623C17"/>
    <w:rsid w:val="00625EFD"/>
    <w:rsid w:val="00626974"/>
    <w:rsid w:val="00627621"/>
    <w:rsid w:val="006277A4"/>
    <w:rsid w:val="00627B3E"/>
    <w:rsid w:val="00627CB9"/>
    <w:rsid w:val="00630DED"/>
    <w:rsid w:val="006312C1"/>
    <w:rsid w:val="00631496"/>
    <w:rsid w:val="006314AA"/>
    <w:rsid w:val="00631543"/>
    <w:rsid w:val="006318E1"/>
    <w:rsid w:val="0063333D"/>
    <w:rsid w:val="00634FDD"/>
    <w:rsid w:val="00636682"/>
    <w:rsid w:val="006378CB"/>
    <w:rsid w:val="00640499"/>
    <w:rsid w:val="006412E9"/>
    <w:rsid w:val="00641E19"/>
    <w:rsid w:val="00642822"/>
    <w:rsid w:val="00642BAE"/>
    <w:rsid w:val="0064459E"/>
    <w:rsid w:val="0064526C"/>
    <w:rsid w:val="00650252"/>
    <w:rsid w:val="006504F7"/>
    <w:rsid w:val="00651220"/>
    <w:rsid w:val="006515F3"/>
    <w:rsid w:val="00653261"/>
    <w:rsid w:val="006536A9"/>
    <w:rsid w:val="00656179"/>
    <w:rsid w:val="00656A73"/>
    <w:rsid w:val="006601A3"/>
    <w:rsid w:val="006604D3"/>
    <w:rsid w:val="00662B0C"/>
    <w:rsid w:val="006636F3"/>
    <w:rsid w:val="006642EF"/>
    <w:rsid w:val="00664D4C"/>
    <w:rsid w:val="00665AF3"/>
    <w:rsid w:val="00667C14"/>
    <w:rsid w:val="00670038"/>
    <w:rsid w:val="00670F31"/>
    <w:rsid w:val="00671CB3"/>
    <w:rsid w:val="006729B3"/>
    <w:rsid w:val="006729DD"/>
    <w:rsid w:val="006742C4"/>
    <w:rsid w:val="00675F94"/>
    <w:rsid w:val="0067635E"/>
    <w:rsid w:val="00677BFA"/>
    <w:rsid w:val="00680B35"/>
    <w:rsid w:val="00680B48"/>
    <w:rsid w:val="00680BB2"/>
    <w:rsid w:val="006820B4"/>
    <w:rsid w:val="006828F2"/>
    <w:rsid w:val="00682F59"/>
    <w:rsid w:val="0068461E"/>
    <w:rsid w:val="00686531"/>
    <w:rsid w:val="00686D84"/>
    <w:rsid w:val="00687048"/>
    <w:rsid w:val="00687F60"/>
    <w:rsid w:val="0069334F"/>
    <w:rsid w:val="006956CE"/>
    <w:rsid w:val="00696362"/>
    <w:rsid w:val="0069795D"/>
    <w:rsid w:val="00697DD5"/>
    <w:rsid w:val="006A01FF"/>
    <w:rsid w:val="006A288D"/>
    <w:rsid w:val="006A364A"/>
    <w:rsid w:val="006A38F3"/>
    <w:rsid w:val="006A3FD2"/>
    <w:rsid w:val="006A4952"/>
    <w:rsid w:val="006A4BC4"/>
    <w:rsid w:val="006A4D9D"/>
    <w:rsid w:val="006A56BE"/>
    <w:rsid w:val="006A612D"/>
    <w:rsid w:val="006A6268"/>
    <w:rsid w:val="006A726B"/>
    <w:rsid w:val="006B03BA"/>
    <w:rsid w:val="006B0EF6"/>
    <w:rsid w:val="006B16FF"/>
    <w:rsid w:val="006B19AD"/>
    <w:rsid w:val="006B1E0C"/>
    <w:rsid w:val="006B2202"/>
    <w:rsid w:val="006B2EC3"/>
    <w:rsid w:val="006B3746"/>
    <w:rsid w:val="006B3822"/>
    <w:rsid w:val="006B39A2"/>
    <w:rsid w:val="006B4F76"/>
    <w:rsid w:val="006B58E3"/>
    <w:rsid w:val="006B60E2"/>
    <w:rsid w:val="006B7FBA"/>
    <w:rsid w:val="006C0630"/>
    <w:rsid w:val="006C0F3A"/>
    <w:rsid w:val="006C1C98"/>
    <w:rsid w:val="006C3294"/>
    <w:rsid w:val="006C3659"/>
    <w:rsid w:val="006C3814"/>
    <w:rsid w:val="006C3BAF"/>
    <w:rsid w:val="006C3C9E"/>
    <w:rsid w:val="006C3FB2"/>
    <w:rsid w:val="006C4055"/>
    <w:rsid w:val="006C4303"/>
    <w:rsid w:val="006C4674"/>
    <w:rsid w:val="006C516A"/>
    <w:rsid w:val="006C5F1B"/>
    <w:rsid w:val="006C62A6"/>
    <w:rsid w:val="006C68B8"/>
    <w:rsid w:val="006C6CFC"/>
    <w:rsid w:val="006C7AED"/>
    <w:rsid w:val="006C7B29"/>
    <w:rsid w:val="006D02E1"/>
    <w:rsid w:val="006D0434"/>
    <w:rsid w:val="006D1011"/>
    <w:rsid w:val="006D25C6"/>
    <w:rsid w:val="006D26E0"/>
    <w:rsid w:val="006D32BE"/>
    <w:rsid w:val="006D367C"/>
    <w:rsid w:val="006D37A4"/>
    <w:rsid w:val="006D3802"/>
    <w:rsid w:val="006D3C9C"/>
    <w:rsid w:val="006D5106"/>
    <w:rsid w:val="006D558E"/>
    <w:rsid w:val="006D64FE"/>
    <w:rsid w:val="006D79DD"/>
    <w:rsid w:val="006D7EB3"/>
    <w:rsid w:val="006E0C60"/>
    <w:rsid w:val="006E0DCD"/>
    <w:rsid w:val="006E1ABF"/>
    <w:rsid w:val="006E26CB"/>
    <w:rsid w:val="006E299C"/>
    <w:rsid w:val="006E3B23"/>
    <w:rsid w:val="006E45D9"/>
    <w:rsid w:val="006E54F1"/>
    <w:rsid w:val="006E5D1F"/>
    <w:rsid w:val="006E6B30"/>
    <w:rsid w:val="006E716F"/>
    <w:rsid w:val="006E7745"/>
    <w:rsid w:val="006F08FE"/>
    <w:rsid w:val="006F2C76"/>
    <w:rsid w:val="006F3AED"/>
    <w:rsid w:val="006F4222"/>
    <w:rsid w:val="006F5D55"/>
    <w:rsid w:val="006F60C7"/>
    <w:rsid w:val="006F752C"/>
    <w:rsid w:val="00700039"/>
    <w:rsid w:val="00700268"/>
    <w:rsid w:val="007004E3"/>
    <w:rsid w:val="00700656"/>
    <w:rsid w:val="00700CF4"/>
    <w:rsid w:val="00702885"/>
    <w:rsid w:val="0070328C"/>
    <w:rsid w:val="00703580"/>
    <w:rsid w:val="007037A8"/>
    <w:rsid w:val="00704DC0"/>
    <w:rsid w:val="00706124"/>
    <w:rsid w:val="0070722D"/>
    <w:rsid w:val="007077FC"/>
    <w:rsid w:val="00710080"/>
    <w:rsid w:val="00711DF0"/>
    <w:rsid w:val="00711F59"/>
    <w:rsid w:val="007128CD"/>
    <w:rsid w:val="00712A94"/>
    <w:rsid w:val="00712EFE"/>
    <w:rsid w:val="00712F6A"/>
    <w:rsid w:val="007145A7"/>
    <w:rsid w:val="00714CEB"/>
    <w:rsid w:val="00715AA0"/>
    <w:rsid w:val="00716C33"/>
    <w:rsid w:val="00720E08"/>
    <w:rsid w:val="0072131D"/>
    <w:rsid w:val="00722592"/>
    <w:rsid w:val="007233A7"/>
    <w:rsid w:val="00723CD3"/>
    <w:rsid w:val="00724B5F"/>
    <w:rsid w:val="00726837"/>
    <w:rsid w:val="00726A15"/>
    <w:rsid w:val="0073033B"/>
    <w:rsid w:val="00730824"/>
    <w:rsid w:val="00730CC2"/>
    <w:rsid w:val="00733E8C"/>
    <w:rsid w:val="00733FAC"/>
    <w:rsid w:val="007343AC"/>
    <w:rsid w:val="0073462F"/>
    <w:rsid w:val="007346C1"/>
    <w:rsid w:val="0073596C"/>
    <w:rsid w:val="00735BDB"/>
    <w:rsid w:val="00736488"/>
    <w:rsid w:val="007367EC"/>
    <w:rsid w:val="007404BA"/>
    <w:rsid w:val="0074091A"/>
    <w:rsid w:val="00740F4A"/>
    <w:rsid w:val="00741B8E"/>
    <w:rsid w:val="00742B86"/>
    <w:rsid w:val="00743F9B"/>
    <w:rsid w:val="0074456C"/>
    <w:rsid w:val="00744CDD"/>
    <w:rsid w:val="00744D85"/>
    <w:rsid w:val="00745215"/>
    <w:rsid w:val="00745A91"/>
    <w:rsid w:val="00747B97"/>
    <w:rsid w:val="00747D82"/>
    <w:rsid w:val="00750526"/>
    <w:rsid w:val="007508B3"/>
    <w:rsid w:val="00750A5B"/>
    <w:rsid w:val="00752356"/>
    <w:rsid w:val="00752610"/>
    <w:rsid w:val="00752E7E"/>
    <w:rsid w:val="00754250"/>
    <w:rsid w:val="00754A4F"/>
    <w:rsid w:val="0075502B"/>
    <w:rsid w:val="00755C0C"/>
    <w:rsid w:val="00755D16"/>
    <w:rsid w:val="0075649C"/>
    <w:rsid w:val="00756FC3"/>
    <w:rsid w:val="00757323"/>
    <w:rsid w:val="00757343"/>
    <w:rsid w:val="00760DD0"/>
    <w:rsid w:val="00761513"/>
    <w:rsid w:val="0076238E"/>
    <w:rsid w:val="007633F4"/>
    <w:rsid w:val="00763854"/>
    <w:rsid w:val="00763D37"/>
    <w:rsid w:val="007641BB"/>
    <w:rsid w:val="00764938"/>
    <w:rsid w:val="00764C50"/>
    <w:rsid w:val="00765ED5"/>
    <w:rsid w:val="007660ED"/>
    <w:rsid w:val="0076645B"/>
    <w:rsid w:val="00766786"/>
    <w:rsid w:val="00767F50"/>
    <w:rsid w:val="0077020B"/>
    <w:rsid w:val="00770631"/>
    <w:rsid w:val="00770BDF"/>
    <w:rsid w:val="007725A2"/>
    <w:rsid w:val="00772A61"/>
    <w:rsid w:val="00773F25"/>
    <w:rsid w:val="0077453D"/>
    <w:rsid w:val="0077455D"/>
    <w:rsid w:val="0077476E"/>
    <w:rsid w:val="007767E7"/>
    <w:rsid w:val="0077696A"/>
    <w:rsid w:val="00776C10"/>
    <w:rsid w:val="00776FBE"/>
    <w:rsid w:val="0077711B"/>
    <w:rsid w:val="00777DF1"/>
    <w:rsid w:val="00777F47"/>
    <w:rsid w:val="00777F49"/>
    <w:rsid w:val="00780527"/>
    <w:rsid w:val="007808E9"/>
    <w:rsid w:val="00780ED6"/>
    <w:rsid w:val="00781A24"/>
    <w:rsid w:val="007821D8"/>
    <w:rsid w:val="00784097"/>
    <w:rsid w:val="0078477D"/>
    <w:rsid w:val="00784798"/>
    <w:rsid w:val="007854D4"/>
    <w:rsid w:val="00786B50"/>
    <w:rsid w:val="00786C4A"/>
    <w:rsid w:val="0078760F"/>
    <w:rsid w:val="00787FA1"/>
    <w:rsid w:val="0079027C"/>
    <w:rsid w:val="007903A5"/>
    <w:rsid w:val="00790F5A"/>
    <w:rsid w:val="007912D2"/>
    <w:rsid w:val="00792EC6"/>
    <w:rsid w:val="00793973"/>
    <w:rsid w:val="00793C93"/>
    <w:rsid w:val="00793EA7"/>
    <w:rsid w:val="007942EB"/>
    <w:rsid w:val="00794EBE"/>
    <w:rsid w:val="007956FD"/>
    <w:rsid w:val="007959FF"/>
    <w:rsid w:val="00795F40"/>
    <w:rsid w:val="007966CF"/>
    <w:rsid w:val="007A079D"/>
    <w:rsid w:val="007A2096"/>
    <w:rsid w:val="007A209E"/>
    <w:rsid w:val="007A32DD"/>
    <w:rsid w:val="007A34AE"/>
    <w:rsid w:val="007A42A7"/>
    <w:rsid w:val="007A430C"/>
    <w:rsid w:val="007A5EA0"/>
    <w:rsid w:val="007A646F"/>
    <w:rsid w:val="007A7779"/>
    <w:rsid w:val="007A79A2"/>
    <w:rsid w:val="007A7BA9"/>
    <w:rsid w:val="007B07C4"/>
    <w:rsid w:val="007B1C1B"/>
    <w:rsid w:val="007B239A"/>
    <w:rsid w:val="007B3592"/>
    <w:rsid w:val="007B4587"/>
    <w:rsid w:val="007B57BE"/>
    <w:rsid w:val="007B5FFB"/>
    <w:rsid w:val="007B64EC"/>
    <w:rsid w:val="007B66C6"/>
    <w:rsid w:val="007B675F"/>
    <w:rsid w:val="007B7874"/>
    <w:rsid w:val="007B7DEB"/>
    <w:rsid w:val="007C01EB"/>
    <w:rsid w:val="007C1227"/>
    <w:rsid w:val="007C1EDA"/>
    <w:rsid w:val="007C266B"/>
    <w:rsid w:val="007C54D4"/>
    <w:rsid w:val="007C5668"/>
    <w:rsid w:val="007C56E9"/>
    <w:rsid w:val="007C620D"/>
    <w:rsid w:val="007C64CC"/>
    <w:rsid w:val="007D0366"/>
    <w:rsid w:val="007D050D"/>
    <w:rsid w:val="007D0C99"/>
    <w:rsid w:val="007D1BED"/>
    <w:rsid w:val="007D1D5E"/>
    <w:rsid w:val="007D2C54"/>
    <w:rsid w:val="007D4100"/>
    <w:rsid w:val="007D587E"/>
    <w:rsid w:val="007D590D"/>
    <w:rsid w:val="007D67D9"/>
    <w:rsid w:val="007D73F6"/>
    <w:rsid w:val="007D7864"/>
    <w:rsid w:val="007E0186"/>
    <w:rsid w:val="007E048D"/>
    <w:rsid w:val="007E09CF"/>
    <w:rsid w:val="007E0A86"/>
    <w:rsid w:val="007E1B21"/>
    <w:rsid w:val="007E1D1D"/>
    <w:rsid w:val="007E21F4"/>
    <w:rsid w:val="007E25F5"/>
    <w:rsid w:val="007E3161"/>
    <w:rsid w:val="007E3EFA"/>
    <w:rsid w:val="007E4696"/>
    <w:rsid w:val="007E46C0"/>
    <w:rsid w:val="007E548D"/>
    <w:rsid w:val="007E5C21"/>
    <w:rsid w:val="007E6BE7"/>
    <w:rsid w:val="007E753C"/>
    <w:rsid w:val="007F084A"/>
    <w:rsid w:val="007F0FC4"/>
    <w:rsid w:val="007F1108"/>
    <w:rsid w:val="007F179F"/>
    <w:rsid w:val="007F1B29"/>
    <w:rsid w:val="007F2F07"/>
    <w:rsid w:val="007F4AD0"/>
    <w:rsid w:val="0080299F"/>
    <w:rsid w:val="00802B2D"/>
    <w:rsid w:val="00802B47"/>
    <w:rsid w:val="00802E86"/>
    <w:rsid w:val="008031A9"/>
    <w:rsid w:val="00803508"/>
    <w:rsid w:val="00803BDF"/>
    <w:rsid w:val="00804AE4"/>
    <w:rsid w:val="00806607"/>
    <w:rsid w:val="00806AB2"/>
    <w:rsid w:val="00807CEB"/>
    <w:rsid w:val="00807EF6"/>
    <w:rsid w:val="008116BB"/>
    <w:rsid w:val="00811AB7"/>
    <w:rsid w:val="00811CBE"/>
    <w:rsid w:val="0081288E"/>
    <w:rsid w:val="00812E92"/>
    <w:rsid w:val="008134E9"/>
    <w:rsid w:val="00813EA1"/>
    <w:rsid w:val="008146B7"/>
    <w:rsid w:val="008150EC"/>
    <w:rsid w:val="00816933"/>
    <w:rsid w:val="00816F91"/>
    <w:rsid w:val="00816FD5"/>
    <w:rsid w:val="008214C4"/>
    <w:rsid w:val="00821A46"/>
    <w:rsid w:val="008229BA"/>
    <w:rsid w:val="00822C82"/>
    <w:rsid w:val="0082609E"/>
    <w:rsid w:val="008261BB"/>
    <w:rsid w:val="008267DB"/>
    <w:rsid w:val="008275F0"/>
    <w:rsid w:val="008276D8"/>
    <w:rsid w:val="00830BE7"/>
    <w:rsid w:val="00830C8C"/>
    <w:rsid w:val="00830CEA"/>
    <w:rsid w:val="00831CD8"/>
    <w:rsid w:val="00831E48"/>
    <w:rsid w:val="008321BA"/>
    <w:rsid w:val="00832855"/>
    <w:rsid w:val="00832C3A"/>
    <w:rsid w:val="00832C40"/>
    <w:rsid w:val="00833246"/>
    <w:rsid w:val="00833264"/>
    <w:rsid w:val="0083374B"/>
    <w:rsid w:val="008348B4"/>
    <w:rsid w:val="0083537A"/>
    <w:rsid w:val="008357D6"/>
    <w:rsid w:val="008361F3"/>
    <w:rsid w:val="008363BA"/>
    <w:rsid w:val="0083662A"/>
    <w:rsid w:val="00836818"/>
    <w:rsid w:val="008405E7"/>
    <w:rsid w:val="00841264"/>
    <w:rsid w:val="008419F1"/>
    <w:rsid w:val="00841E43"/>
    <w:rsid w:val="00843E57"/>
    <w:rsid w:val="00844677"/>
    <w:rsid w:val="00844ACA"/>
    <w:rsid w:val="008458A1"/>
    <w:rsid w:val="00846711"/>
    <w:rsid w:val="00846741"/>
    <w:rsid w:val="00847A22"/>
    <w:rsid w:val="00850E8E"/>
    <w:rsid w:val="00850EBA"/>
    <w:rsid w:val="00851149"/>
    <w:rsid w:val="00852528"/>
    <w:rsid w:val="008525EF"/>
    <w:rsid w:val="00853188"/>
    <w:rsid w:val="00854173"/>
    <w:rsid w:val="00854E2E"/>
    <w:rsid w:val="00854F20"/>
    <w:rsid w:val="008554EA"/>
    <w:rsid w:val="008555F0"/>
    <w:rsid w:val="008577EF"/>
    <w:rsid w:val="00857B6B"/>
    <w:rsid w:val="00860682"/>
    <w:rsid w:val="008614EE"/>
    <w:rsid w:val="0086169A"/>
    <w:rsid w:val="00861BFA"/>
    <w:rsid w:val="00862190"/>
    <w:rsid w:val="00863455"/>
    <w:rsid w:val="00863C4E"/>
    <w:rsid w:val="0086440D"/>
    <w:rsid w:val="0086489D"/>
    <w:rsid w:val="0086592D"/>
    <w:rsid w:val="00867438"/>
    <w:rsid w:val="00867FD2"/>
    <w:rsid w:val="008701C6"/>
    <w:rsid w:val="00870A92"/>
    <w:rsid w:val="0087118C"/>
    <w:rsid w:val="00871B21"/>
    <w:rsid w:val="00871E3D"/>
    <w:rsid w:val="0087289C"/>
    <w:rsid w:val="0087348B"/>
    <w:rsid w:val="00873C17"/>
    <w:rsid w:val="008743EC"/>
    <w:rsid w:val="00875552"/>
    <w:rsid w:val="00876A66"/>
    <w:rsid w:val="00877A32"/>
    <w:rsid w:val="008800CA"/>
    <w:rsid w:val="00880118"/>
    <w:rsid w:val="0088021D"/>
    <w:rsid w:val="008811F8"/>
    <w:rsid w:val="00881EA1"/>
    <w:rsid w:val="008822B6"/>
    <w:rsid w:val="008823CF"/>
    <w:rsid w:val="00883394"/>
    <w:rsid w:val="00883BA0"/>
    <w:rsid w:val="00884B7B"/>
    <w:rsid w:val="008855EF"/>
    <w:rsid w:val="00885792"/>
    <w:rsid w:val="00886421"/>
    <w:rsid w:val="0088696A"/>
    <w:rsid w:val="00886A44"/>
    <w:rsid w:val="00890451"/>
    <w:rsid w:val="0089173A"/>
    <w:rsid w:val="00892627"/>
    <w:rsid w:val="00892EB2"/>
    <w:rsid w:val="0089317F"/>
    <w:rsid w:val="00894706"/>
    <w:rsid w:val="00894F9E"/>
    <w:rsid w:val="00896581"/>
    <w:rsid w:val="0089672B"/>
    <w:rsid w:val="008970F9"/>
    <w:rsid w:val="0089710F"/>
    <w:rsid w:val="008977E8"/>
    <w:rsid w:val="00897D61"/>
    <w:rsid w:val="00897EBA"/>
    <w:rsid w:val="00897EFF"/>
    <w:rsid w:val="008A0FAC"/>
    <w:rsid w:val="008A1580"/>
    <w:rsid w:val="008A1F08"/>
    <w:rsid w:val="008A24B6"/>
    <w:rsid w:val="008A24E2"/>
    <w:rsid w:val="008A35D6"/>
    <w:rsid w:val="008A3771"/>
    <w:rsid w:val="008A3902"/>
    <w:rsid w:val="008A3B7C"/>
    <w:rsid w:val="008A419F"/>
    <w:rsid w:val="008A4536"/>
    <w:rsid w:val="008A4A7F"/>
    <w:rsid w:val="008A4D67"/>
    <w:rsid w:val="008A4DA5"/>
    <w:rsid w:val="008A5751"/>
    <w:rsid w:val="008A6918"/>
    <w:rsid w:val="008B010A"/>
    <w:rsid w:val="008B0833"/>
    <w:rsid w:val="008B1F03"/>
    <w:rsid w:val="008B2268"/>
    <w:rsid w:val="008B297D"/>
    <w:rsid w:val="008B3BAE"/>
    <w:rsid w:val="008B5AED"/>
    <w:rsid w:val="008B6D1A"/>
    <w:rsid w:val="008B7BB4"/>
    <w:rsid w:val="008C171B"/>
    <w:rsid w:val="008C1D78"/>
    <w:rsid w:val="008C2608"/>
    <w:rsid w:val="008C27BB"/>
    <w:rsid w:val="008C3AF3"/>
    <w:rsid w:val="008C3EF9"/>
    <w:rsid w:val="008C461D"/>
    <w:rsid w:val="008C4F24"/>
    <w:rsid w:val="008C55C2"/>
    <w:rsid w:val="008C5C18"/>
    <w:rsid w:val="008C61CB"/>
    <w:rsid w:val="008C6C61"/>
    <w:rsid w:val="008D0519"/>
    <w:rsid w:val="008D1240"/>
    <w:rsid w:val="008D18BF"/>
    <w:rsid w:val="008D1B7C"/>
    <w:rsid w:val="008D2CF4"/>
    <w:rsid w:val="008D4068"/>
    <w:rsid w:val="008D4DC6"/>
    <w:rsid w:val="008D61E3"/>
    <w:rsid w:val="008D627F"/>
    <w:rsid w:val="008D6715"/>
    <w:rsid w:val="008D7782"/>
    <w:rsid w:val="008D787E"/>
    <w:rsid w:val="008D78CF"/>
    <w:rsid w:val="008D7E12"/>
    <w:rsid w:val="008E0127"/>
    <w:rsid w:val="008E0572"/>
    <w:rsid w:val="008E3208"/>
    <w:rsid w:val="008E3CF5"/>
    <w:rsid w:val="008E4221"/>
    <w:rsid w:val="008E4335"/>
    <w:rsid w:val="008E5840"/>
    <w:rsid w:val="008E5D1F"/>
    <w:rsid w:val="008E757D"/>
    <w:rsid w:val="008E7965"/>
    <w:rsid w:val="008F12F3"/>
    <w:rsid w:val="008F23A8"/>
    <w:rsid w:val="008F3798"/>
    <w:rsid w:val="008F41D2"/>
    <w:rsid w:val="008F5026"/>
    <w:rsid w:val="008F5409"/>
    <w:rsid w:val="008F5FF7"/>
    <w:rsid w:val="008F66A2"/>
    <w:rsid w:val="008F6EE3"/>
    <w:rsid w:val="008F7018"/>
    <w:rsid w:val="00900EB4"/>
    <w:rsid w:val="00901C40"/>
    <w:rsid w:val="009034BF"/>
    <w:rsid w:val="00904016"/>
    <w:rsid w:val="00904843"/>
    <w:rsid w:val="0090557C"/>
    <w:rsid w:val="009057E2"/>
    <w:rsid w:val="0090611C"/>
    <w:rsid w:val="00907005"/>
    <w:rsid w:val="00907370"/>
    <w:rsid w:val="009073D2"/>
    <w:rsid w:val="0091099F"/>
    <w:rsid w:val="00910A84"/>
    <w:rsid w:val="00910A98"/>
    <w:rsid w:val="009112D8"/>
    <w:rsid w:val="00912096"/>
    <w:rsid w:val="00913545"/>
    <w:rsid w:val="00913FDF"/>
    <w:rsid w:val="0091516C"/>
    <w:rsid w:val="00915675"/>
    <w:rsid w:val="00915D90"/>
    <w:rsid w:val="00916D52"/>
    <w:rsid w:val="0092022A"/>
    <w:rsid w:val="0092067A"/>
    <w:rsid w:val="00921021"/>
    <w:rsid w:val="00922434"/>
    <w:rsid w:val="0092275E"/>
    <w:rsid w:val="00922929"/>
    <w:rsid w:val="00922DE0"/>
    <w:rsid w:val="00927225"/>
    <w:rsid w:val="009300A6"/>
    <w:rsid w:val="00930841"/>
    <w:rsid w:val="00931211"/>
    <w:rsid w:val="00931D6A"/>
    <w:rsid w:val="0093303F"/>
    <w:rsid w:val="009341D1"/>
    <w:rsid w:val="00934A2F"/>
    <w:rsid w:val="00937E69"/>
    <w:rsid w:val="009401B2"/>
    <w:rsid w:val="00940589"/>
    <w:rsid w:val="00941D9F"/>
    <w:rsid w:val="0094216A"/>
    <w:rsid w:val="009452BE"/>
    <w:rsid w:val="0094539D"/>
    <w:rsid w:val="00947D94"/>
    <w:rsid w:val="0095037E"/>
    <w:rsid w:val="009516D5"/>
    <w:rsid w:val="00951828"/>
    <w:rsid w:val="0095262A"/>
    <w:rsid w:val="00953E75"/>
    <w:rsid w:val="00954F14"/>
    <w:rsid w:val="00954F5E"/>
    <w:rsid w:val="00955680"/>
    <w:rsid w:val="0095603A"/>
    <w:rsid w:val="009560D8"/>
    <w:rsid w:val="00957EC9"/>
    <w:rsid w:val="00960F40"/>
    <w:rsid w:val="00961429"/>
    <w:rsid w:val="00962744"/>
    <w:rsid w:val="00962AD5"/>
    <w:rsid w:val="009631ED"/>
    <w:rsid w:val="00964425"/>
    <w:rsid w:val="0096478F"/>
    <w:rsid w:val="00965252"/>
    <w:rsid w:val="0096556B"/>
    <w:rsid w:val="009657F3"/>
    <w:rsid w:val="0096593D"/>
    <w:rsid w:val="00966124"/>
    <w:rsid w:val="00966CD8"/>
    <w:rsid w:val="009677B1"/>
    <w:rsid w:val="009677BC"/>
    <w:rsid w:val="00967859"/>
    <w:rsid w:val="0096795C"/>
    <w:rsid w:val="009708AD"/>
    <w:rsid w:val="009718C7"/>
    <w:rsid w:val="00972621"/>
    <w:rsid w:val="009741E1"/>
    <w:rsid w:val="009744FA"/>
    <w:rsid w:val="0097507F"/>
    <w:rsid w:val="00975201"/>
    <w:rsid w:val="009756E0"/>
    <w:rsid w:val="00975C44"/>
    <w:rsid w:val="00975DDE"/>
    <w:rsid w:val="00976AE6"/>
    <w:rsid w:val="0097756C"/>
    <w:rsid w:val="00977DA9"/>
    <w:rsid w:val="00980D88"/>
    <w:rsid w:val="00980E04"/>
    <w:rsid w:val="00981801"/>
    <w:rsid w:val="00981955"/>
    <w:rsid w:val="00981B85"/>
    <w:rsid w:val="0098215E"/>
    <w:rsid w:val="009829D6"/>
    <w:rsid w:val="00984AC0"/>
    <w:rsid w:val="00986639"/>
    <w:rsid w:val="009866CA"/>
    <w:rsid w:val="00986DE5"/>
    <w:rsid w:val="009902A4"/>
    <w:rsid w:val="00990543"/>
    <w:rsid w:val="0099203B"/>
    <w:rsid w:val="0099244B"/>
    <w:rsid w:val="00992554"/>
    <w:rsid w:val="009926A8"/>
    <w:rsid w:val="009940CB"/>
    <w:rsid w:val="0099530F"/>
    <w:rsid w:val="00995C0F"/>
    <w:rsid w:val="009965D9"/>
    <w:rsid w:val="00996BCF"/>
    <w:rsid w:val="00997A4E"/>
    <w:rsid w:val="009A1740"/>
    <w:rsid w:val="009A1A13"/>
    <w:rsid w:val="009A1E16"/>
    <w:rsid w:val="009A1EC5"/>
    <w:rsid w:val="009A2A00"/>
    <w:rsid w:val="009A3B4B"/>
    <w:rsid w:val="009A3B59"/>
    <w:rsid w:val="009A6229"/>
    <w:rsid w:val="009A6978"/>
    <w:rsid w:val="009A724B"/>
    <w:rsid w:val="009A749F"/>
    <w:rsid w:val="009B088B"/>
    <w:rsid w:val="009B0C92"/>
    <w:rsid w:val="009B0E17"/>
    <w:rsid w:val="009B1992"/>
    <w:rsid w:val="009B2460"/>
    <w:rsid w:val="009B2BEC"/>
    <w:rsid w:val="009B2F35"/>
    <w:rsid w:val="009B35D2"/>
    <w:rsid w:val="009B38B3"/>
    <w:rsid w:val="009B39B2"/>
    <w:rsid w:val="009B5A59"/>
    <w:rsid w:val="009B624F"/>
    <w:rsid w:val="009B6880"/>
    <w:rsid w:val="009B6E28"/>
    <w:rsid w:val="009B7063"/>
    <w:rsid w:val="009B70AF"/>
    <w:rsid w:val="009C212E"/>
    <w:rsid w:val="009C2C4E"/>
    <w:rsid w:val="009C3295"/>
    <w:rsid w:val="009C479B"/>
    <w:rsid w:val="009C53B5"/>
    <w:rsid w:val="009C5D87"/>
    <w:rsid w:val="009C6B36"/>
    <w:rsid w:val="009C7D67"/>
    <w:rsid w:val="009C7E09"/>
    <w:rsid w:val="009D15E1"/>
    <w:rsid w:val="009D26B6"/>
    <w:rsid w:val="009D289D"/>
    <w:rsid w:val="009D2BC7"/>
    <w:rsid w:val="009D3CEB"/>
    <w:rsid w:val="009D3F35"/>
    <w:rsid w:val="009D49DB"/>
    <w:rsid w:val="009D4C01"/>
    <w:rsid w:val="009D5414"/>
    <w:rsid w:val="009D6197"/>
    <w:rsid w:val="009D66EE"/>
    <w:rsid w:val="009D6734"/>
    <w:rsid w:val="009D7873"/>
    <w:rsid w:val="009E03D1"/>
    <w:rsid w:val="009E083F"/>
    <w:rsid w:val="009E0E2D"/>
    <w:rsid w:val="009E17E6"/>
    <w:rsid w:val="009E18CB"/>
    <w:rsid w:val="009E2B99"/>
    <w:rsid w:val="009E2FDA"/>
    <w:rsid w:val="009E5505"/>
    <w:rsid w:val="009E5F01"/>
    <w:rsid w:val="009E6107"/>
    <w:rsid w:val="009E742F"/>
    <w:rsid w:val="009E7954"/>
    <w:rsid w:val="009E7EF6"/>
    <w:rsid w:val="009F0238"/>
    <w:rsid w:val="009F0449"/>
    <w:rsid w:val="009F0482"/>
    <w:rsid w:val="009F0A63"/>
    <w:rsid w:val="009F1758"/>
    <w:rsid w:val="009F18F6"/>
    <w:rsid w:val="009F26B6"/>
    <w:rsid w:val="009F3418"/>
    <w:rsid w:val="009F6CC0"/>
    <w:rsid w:val="009F6E4C"/>
    <w:rsid w:val="009F76FE"/>
    <w:rsid w:val="00A001EA"/>
    <w:rsid w:val="00A00814"/>
    <w:rsid w:val="00A00F13"/>
    <w:rsid w:val="00A01081"/>
    <w:rsid w:val="00A013B5"/>
    <w:rsid w:val="00A02F18"/>
    <w:rsid w:val="00A03A5F"/>
    <w:rsid w:val="00A040F8"/>
    <w:rsid w:val="00A045DC"/>
    <w:rsid w:val="00A051C1"/>
    <w:rsid w:val="00A101AB"/>
    <w:rsid w:val="00A10C69"/>
    <w:rsid w:val="00A128A7"/>
    <w:rsid w:val="00A129D9"/>
    <w:rsid w:val="00A14121"/>
    <w:rsid w:val="00A147BB"/>
    <w:rsid w:val="00A14895"/>
    <w:rsid w:val="00A148AD"/>
    <w:rsid w:val="00A15473"/>
    <w:rsid w:val="00A159E2"/>
    <w:rsid w:val="00A16871"/>
    <w:rsid w:val="00A16C57"/>
    <w:rsid w:val="00A21486"/>
    <w:rsid w:val="00A21943"/>
    <w:rsid w:val="00A21E50"/>
    <w:rsid w:val="00A22047"/>
    <w:rsid w:val="00A222FF"/>
    <w:rsid w:val="00A22C87"/>
    <w:rsid w:val="00A22F18"/>
    <w:rsid w:val="00A23AF0"/>
    <w:rsid w:val="00A2477F"/>
    <w:rsid w:val="00A24C96"/>
    <w:rsid w:val="00A25255"/>
    <w:rsid w:val="00A255C6"/>
    <w:rsid w:val="00A27AD9"/>
    <w:rsid w:val="00A27D42"/>
    <w:rsid w:val="00A3027F"/>
    <w:rsid w:val="00A303B6"/>
    <w:rsid w:val="00A3063D"/>
    <w:rsid w:val="00A322BD"/>
    <w:rsid w:val="00A32B24"/>
    <w:rsid w:val="00A32D8C"/>
    <w:rsid w:val="00A3418C"/>
    <w:rsid w:val="00A35110"/>
    <w:rsid w:val="00A352A1"/>
    <w:rsid w:val="00A366D1"/>
    <w:rsid w:val="00A36909"/>
    <w:rsid w:val="00A413AA"/>
    <w:rsid w:val="00A438C6"/>
    <w:rsid w:val="00A439D5"/>
    <w:rsid w:val="00A4419E"/>
    <w:rsid w:val="00A443FF"/>
    <w:rsid w:val="00A447D3"/>
    <w:rsid w:val="00A44BB4"/>
    <w:rsid w:val="00A462A3"/>
    <w:rsid w:val="00A46380"/>
    <w:rsid w:val="00A46E1D"/>
    <w:rsid w:val="00A51B7A"/>
    <w:rsid w:val="00A52972"/>
    <w:rsid w:val="00A53D99"/>
    <w:rsid w:val="00A54119"/>
    <w:rsid w:val="00A5423D"/>
    <w:rsid w:val="00A543A5"/>
    <w:rsid w:val="00A546F0"/>
    <w:rsid w:val="00A54BE4"/>
    <w:rsid w:val="00A55B12"/>
    <w:rsid w:val="00A56034"/>
    <w:rsid w:val="00A607B4"/>
    <w:rsid w:val="00A60A5E"/>
    <w:rsid w:val="00A63761"/>
    <w:rsid w:val="00A649C7"/>
    <w:rsid w:val="00A64C25"/>
    <w:rsid w:val="00A653E3"/>
    <w:rsid w:val="00A65ED5"/>
    <w:rsid w:val="00A665A7"/>
    <w:rsid w:val="00A66651"/>
    <w:rsid w:val="00A66805"/>
    <w:rsid w:val="00A672C2"/>
    <w:rsid w:val="00A70659"/>
    <w:rsid w:val="00A70A09"/>
    <w:rsid w:val="00A70F86"/>
    <w:rsid w:val="00A7179B"/>
    <w:rsid w:val="00A71A5F"/>
    <w:rsid w:val="00A71E6A"/>
    <w:rsid w:val="00A72332"/>
    <w:rsid w:val="00A72850"/>
    <w:rsid w:val="00A7402B"/>
    <w:rsid w:val="00A7452C"/>
    <w:rsid w:val="00A748EC"/>
    <w:rsid w:val="00A74FED"/>
    <w:rsid w:val="00A75682"/>
    <w:rsid w:val="00A769F6"/>
    <w:rsid w:val="00A76F0E"/>
    <w:rsid w:val="00A77143"/>
    <w:rsid w:val="00A7764C"/>
    <w:rsid w:val="00A77B25"/>
    <w:rsid w:val="00A801A4"/>
    <w:rsid w:val="00A81BD3"/>
    <w:rsid w:val="00A81D48"/>
    <w:rsid w:val="00A82292"/>
    <w:rsid w:val="00A83080"/>
    <w:rsid w:val="00A835F3"/>
    <w:rsid w:val="00A845FA"/>
    <w:rsid w:val="00A84979"/>
    <w:rsid w:val="00A84B83"/>
    <w:rsid w:val="00A84E83"/>
    <w:rsid w:val="00A85041"/>
    <w:rsid w:val="00A85212"/>
    <w:rsid w:val="00A85A05"/>
    <w:rsid w:val="00A85EE1"/>
    <w:rsid w:val="00A87065"/>
    <w:rsid w:val="00A9044E"/>
    <w:rsid w:val="00A911F7"/>
    <w:rsid w:val="00A9301F"/>
    <w:rsid w:val="00A933B9"/>
    <w:rsid w:val="00A94C92"/>
    <w:rsid w:val="00A954C5"/>
    <w:rsid w:val="00A95644"/>
    <w:rsid w:val="00A95835"/>
    <w:rsid w:val="00A972FA"/>
    <w:rsid w:val="00A97612"/>
    <w:rsid w:val="00A9793C"/>
    <w:rsid w:val="00AA1F22"/>
    <w:rsid w:val="00AA3715"/>
    <w:rsid w:val="00AA45F6"/>
    <w:rsid w:val="00AA61C2"/>
    <w:rsid w:val="00AA627D"/>
    <w:rsid w:val="00AA69BE"/>
    <w:rsid w:val="00AA7C40"/>
    <w:rsid w:val="00AB090A"/>
    <w:rsid w:val="00AB0F8B"/>
    <w:rsid w:val="00AB1F56"/>
    <w:rsid w:val="00AB1F7F"/>
    <w:rsid w:val="00AB2F79"/>
    <w:rsid w:val="00AB4CD9"/>
    <w:rsid w:val="00AB4FED"/>
    <w:rsid w:val="00AB51EB"/>
    <w:rsid w:val="00AB54D0"/>
    <w:rsid w:val="00AB5EAA"/>
    <w:rsid w:val="00AB5FAE"/>
    <w:rsid w:val="00AC1586"/>
    <w:rsid w:val="00AC1F0D"/>
    <w:rsid w:val="00AC47C2"/>
    <w:rsid w:val="00AC5143"/>
    <w:rsid w:val="00AC60AE"/>
    <w:rsid w:val="00AC6A60"/>
    <w:rsid w:val="00AC74AA"/>
    <w:rsid w:val="00AC7511"/>
    <w:rsid w:val="00AD093E"/>
    <w:rsid w:val="00AD0C9E"/>
    <w:rsid w:val="00AD109F"/>
    <w:rsid w:val="00AD2598"/>
    <w:rsid w:val="00AD2DB3"/>
    <w:rsid w:val="00AD3299"/>
    <w:rsid w:val="00AD47B6"/>
    <w:rsid w:val="00AD67E8"/>
    <w:rsid w:val="00AE0C14"/>
    <w:rsid w:val="00AE1347"/>
    <w:rsid w:val="00AE38D4"/>
    <w:rsid w:val="00AE423D"/>
    <w:rsid w:val="00AE54F6"/>
    <w:rsid w:val="00AE6AF6"/>
    <w:rsid w:val="00AE7144"/>
    <w:rsid w:val="00AE7B55"/>
    <w:rsid w:val="00AF0D66"/>
    <w:rsid w:val="00AF10AA"/>
    <w:rsid w:val="00AF137B"/>
    <w:rsid w:val="00AF2269"/>
    <w:rsid w:val="00AF25FE"/>
    <w:rsid w:val="00AF27C4"/>
    <w:rsid w:val="00AF3041"/>
    <w:rsid w:val="00AF31FD"/>
    <w:rsid w:val="00AF35A5"/>
    <w:rsid w:val="00AF47FF"/>
    <w:rsid w:val="00AF5A65"/>
    <w:rsid w:val="00AF5AB7"/>
    <w:rsid w:val="00AF5C06"/>
    <w:rsid w:val="00AF63BB"/>
    <w:rsid w:val="00AF67EB"/>
    <w:rsid w:val="00AF697A"/>
    <w:rsid w:val="00AF72BE"/>
    <w:rsid w:val="00AF7EE3"/>
    <w:rsid w:val="00B00917"/>
    <w:rsid w:val="00B01E10"/>
    <w:rsid w:val="00B02125"/>
    <w:rsid w:val="00B0357D"/>
    <w:rsid w:val="00B0367E"/>
    <w:rsid w:val="00B03FBA"/>
    <w:rsid w:val="00B04D6E"/>
    <w:rsid w:val="00B04E1B"/>
    <w:rsid w:val="00B05AFA"/>
    <w:rsid w:val="00B066C6"/>
    <w:rsid w:val="00B079CC"/>
    <w:rsid w:val="00B07F89"/>
    <w:rsid w:val="00B108C5"/>
    <w:rsid w:val="00B115AE"/>
    <w:rsid w:val="00B11817"/>
    <w:rsid w:val="00B122D4"/>
    <w:rsid w:val="00B12375"/>
    <w:rsid w:val="00B13339"/>
    <w:rsid w:val="00B140A8"/>
    <w:rsid w:val="00B15AB0"/>
    <w:rsid w:val="00B16EF3"/>
    <w:rsid w:val="00B2004C"/>
    <w:rsid w:val="00B20411"/>
    <w:rsid w:val="00B20B6A"/>
    <w:rsid w:val="00B20C21"/>
    <w:rsid w:val="00B21D78"/>
    <w:rsid w:val="00B22254"/>
    <w:rsid w:val="00B23557"/>
    <w:rsid w:val="00B23BF2"/>
    <w:rsid w:val="00B23D9F"/>
    <w:rsid w:val="00B24141"/>
    <w:rsid w:val="00B2416D"/>
    <w:rsid w:val="00B24CEA"/>
    <w:rsid w:val="00B26539"/>
    <w:rsid w:val="00B2741F"/>
    <w:rsid w:val="00B2779A"/>
    <w:rsid w:val="00B278F5"/>
    <w:rsid w:val="00B27AAF"/>
    <w:rsid w:val="00B27ABF"/>
    <w:rsid w:val="00B307ED"/>
    <w:rsid w:val="00B30DA1"/>
    <w:rsid w:val="00B310AE"/>
    <w:rsid w:val="00B311C6"/>
    <w:rsid w:val="00B3221F"/>
    <w:rsid w:val="00B34A65"/>
    <w:rsid w:val="00B34E56"/>
    <w:rsid w:val="00B36379"/>
    <w:rsid w:val="00B40CB4"/>
    <w:rsid w:val="00B415F3"/>
    <w:rsid w:val="00B4208C"/>
    <w:rsid w:val="00B423C9"/>
    <w:rsid w:val="00B425C6"/>
    <w:rsid w:val="00B437CB"/>
    <w:rsid w:val="00B44107"/>
    <w:rsid w:val="00B441B7"/>
    <w:rsid w:val="00B44267"/>
    <w:rsid w:val="00B44620"/>
    <w:rsid w:val="00B446CB"/>
    <w:rsid w:val="00B44AF0"/>
    <w:rsid w:val="00B45576"/>
    <w:rsid w:val="00B459D1"/>
    <w:rsid w:val="00B47367"/>
    <w:rsid w:val="00B51B45"/>
    <w:rsid w:val="00B51EA3"/>
    <w:rsid w:val="00B52751"/>
    <w:rsid w:val="00B52912"/>
    <w:rsid w:val="00B53288"/>
    <w:rsid w:val="00B54408"/>
    <w:rsid w:val="00B55883"/>
    <w:rsid w:val="00B55D9D"/>
    <w:rsid w:val="00B562DB"/>
    <w:rsid w:val="00B56D75"/>
    <w:rsid w:val="00B608AB"/>
    <w:rsid w:val="00B61A25"/>
    <w:rsid w:val="00B63FEC"/>
    <w:rsid w:val="00B648FE"/>
    <w:rsid w:val="00B64A21"/>
    <w:rsid w:val="00B6506F"/>
    <w:rsid w:val="00B65180"/>
    <w:rsid w:val="00B65AF5"/>
    <w:rsid w:val="00B6680A"/>
    <w:rsid w:val="00B6686A"/>
    <w:rsid w:val="00B67B9C"/>
    <w:rsid w:val="00B700A9"/>
    <w:rsid w:val="00B72725"/>
    <w:rsid w:val="00B72940"/>
    <w:rsid w:val="00B729B7"/>
    <w:rsid w:val="00B731A1"/>
    <w:rsid w:val="00B743B6"/>
    <w:rsid w:val="00B75178"/>
    <w:rsid w:val="00B752EF"/>
    <w:rsid w:val="00B755CF"/>
    <w:rsid w:val="00B75927"/>
    <w:rsid w:val="00B76606"/>
    <w:rsid w:val="00B76DC1"/>
    <w:rsid w:val="00B800F9"/>
    <w:rsid w:val="00B809F2"/>
    <w:rsid w:val="00B811D5"/>
    <w:rsid w:val="00B81344"/>
    <w:rsid w:val="00B83875"/>
    <w:rsid w:val="00B8507E"/>
    <w:rsid w:val="00B86009"/>
    <w:rsid w:val="00B863F2"/>
    <w:rsid w:val="00B86794"/>
    <w:rsid w:val="00B87B5D"/>
    <w:rsid w:val="00B87F8B"/>
    <w:rsid w:val="00B913C4"/>
    <w:rsid w:val="00B92560"/>
    <w:rsid w:val="00B92DEA"/>
    <w:rsid w:val="00B94863"/>
    <w:rsid w:val="00B971C6"/>
    <w:rsid w:val="00B97A5F"/>
    <w:rsid w:val="00BA0293"/>
    <w:rsid w:val="00BA099B"/>
    <w:rsid w:val="00BA0C68"/>
    <w:rsid w:val="00BA1027"/>
    <w:rsid w:val="00BA1109"/>
    <w:rsid w:val="00BA1446"/>
    <w:rsid w:val="00BA230E"/>
    <w:rsid w:val="00BA2B8F"/>
    <w:rsid w:val="00BA46D9"/>
    <w:rsid w:val="00BA57D8"/>
    <w:rsid w:val="00BA6274"/>
    <w:rsid w:val="00BA66B9"/>
    <w:rsid w:val="00BB0237"/>
    <w:rsid w:val="00BB1A58"/>
    <w:rsid w:val="00BB219B"/>
    <w:rsid w:val="00BB261F"/>
    <w:rsid w:val="00BB36ED"/>
    <w:rsid w:val="00BB456F"/>
    <w:rsid w:val="00BB66F2"/>
    <w:rsid w:val="00BB68B5"/>
    <w:rsid w:val="00BB78D8"/>
    <w:rsid w:val="00BB7944"/>
    <w:rsid w:val="00BB7C3A"/>
    <w:rsid w:val="00BC034A"/>
    <w:rsid w:val="00BC0503"/>
    <w:rsid w:val="00BC0514"/>
    <w:rsid w:val="00BC11B5"/>
    <w:rsid w:val="00BC1541"/>
    <w:rsid w:val="00BC16B8"/>
    <w:rsid w:val="00BC16F6"/>
    <w:rsid w:val="00BC1C84"/>
    <w:rsid w:val="00BC208E"/>
    <w:rsid w:val="00BC2301"/>
    <w:rsid w:val="00BC254C"/>
    <w:rsid w:val="00BC43B9"/>
    <w:rsid w:val="00BC48C0"/>
    <w:rsid w:val="00BC7B1F"/>
    <w:rsid w:val="00BD000B"/>
    <w:rsid w:val="00BD0C58"/>
    <w:rsid w:val="00BD11CB"/>
    <w:rsid w:val="00BD1AB7"/>
    <w:rsid w:val="00BD2955"/>
    <w:rsid w:val="00BD2B75"/>
    <w:rsid w:val="00BD322D"/>
    <w:rsid w:val="00BD3C79"/>
    <w:rsid w:val="00BD3E09"/>
    <w:rsid w:val="00BD4294"/>
    <w:rsid w:val="00BD499C"/>
    <w:rsid w:val="00BD4FE5"/>
    <w:rsid w:val="00BD52CF"/>
    <w:rsid w:val="00BD53E7"/>
    <w:rsid w:val="00BD5F9D"/>
    <w:rsid w:val="00BD683F"/>
    <w:rsid w:val="00BD795F"/>
    <w:rsid w:val="00BD7EA7"/>
    <w:rsid w:val="00BD7F87"/>
    <w:rsid w:val="00BE0AFA"/>
    <w:rsid w:val="00BE10C6"/>
    <w:rsid w:val="00BE130B"/>
    <w:rsid w:val="00BE1F2B"/>
    <w:rsid w:val="00BE2741"/>
    <w:rsid w:val="00BE2C9A"/>
    <w:rsid w:val="00BE2D43"/>
    <w:rsid w:val="00BE39A1"/>
    <w:rsid w:val="00BE49A6"/>
    <w:rsid w:val="00BE4CF0"/>
    <w:rsid w:val="00BE613C"/>
    <w:rsid w:val="00BE7172"/>
    <w:rsid w:val="00BE778B"/>
    <w:rsid w:val="00BF011B"/>
    <w:rsid w:val="00BF1CFC"/>
    <w:rsid w:val="00BF1FE6"/>
    <w:rsid w:val="00BF3434"/>
    <w:rsid w:val="00BF3C44"/>
    <w:rsid w:val="00BF3C8F"/>
    <w:rsid w:val="00BF5596"/>
    <w:rsid w:val="00BF5F21"/>
    <w:rsid w:val="00BF72F5"/>
    <w:rsid w:val="00BF751B"/>
    <w:rsid w:val="00BF7689"/>
    <w:rsid w:val="00C00E8F"/>
    <w:rsid w:val="00C02439"/>
    <w:rsid w:val="00C02647"/>
    <w:rsid w:val="00C02EC9"/>
    <w:rsid w:val="00C041DA"/>
    <w:rsid w:val="00C04662"/>
    <w:rsid w:val="00C04A1A"/>
    <w:rsid w:val="00C05035"/>
    <w:rsid w:val="00C05DF2"/>
    <w:rsid w:val="00C0681A"/>
    <w:rsid w:val="00C103CF"/>
    <w:rsid w:val="00C11537"/>
    <w:rsid w:val="00C117E1"/>
    <w:rsid w:val="00C11C58"/>
    <w:rsid w:val="00C12415"/>
    <w:rsid w:val="00C12A81"/>
    <w:rsid w:val="00C12F45"/>
    <w:rsid w:val="00C1428B"/>
    <w:rsid w:val="00C175CC"/>
    <w:rsid w:val="00C17C51"/>
    <w:rsid w:val="00C201F7"/>
    <w:rsid w:val="00C20E83"/>
    <w:rsid w:val="00C222CE"/>
    <w:rsid w:val="00C22F5F"/>
    <w:rsid w:val="00C23855"/>
    <w:rsid w:val="00C25AA0"/>
    <w:rsid w:val="00C25C4C"/>
    <w:rsid w:val="00C25E5F"/>
    <w:rsid w:val="00C263D7"/>
    <w:rsid w:val="00C271A7"/>
    <w:rsid w:val="00C27293"/>
    <w:rsid w:val="00C276FA"/>
    <w:rsid w:val="00C27701"/>
    <w:rsid w:val="00C27B81"/>
    <w:rsid w:val="00C3098D"/>
    <w:rsid w:val="00C30ED7"/>
    <w:rsid w:val="00C32604"/>
    <w:rsid w:val="00C3267D"/>
    <w:rsid w:val="00C32D9E"/>
    <w:rsid w:val="00C33A75"/>
    <w:rsid w:val="00C34781"/>
    <w:rsid w:val="00C34847"/>
    <w:rsid w:val="00C34A21"/>
    <w:rsid w:val="00C350C6"/>
    <w:rsid w:val="00C36521"/>
    <w:rsid w:val="00C37A70"/>
    <w:rsid w:val="00C37C40"/>
    <w:rsid w:val="00C40007"/>
    <w:rsid w:val="00C407B8"/>
    <w:rsid w:val="00C409EF"/>
    <w:rsid w:val="00C41573"/>
    <w:rsid w:val="00C41B0E"/>
    <w:rsid w:val="00C4203F"/>
    <w:rsid w:val="00C4238B"/>
    <w:rsid w:val="00C42799"/>
    <w:rsid w:val="00C42A04"/>
    <w:rsid w:val="00C4437C"/>
    <w:rsid w:val="00C44EA9"/>
    <w:rsid w:val="00C450D1"/>
    <w:rsid w:val="00C460B3"/>
    <w:rsid w:val="00C46319"/>
    <w:rsid w:val="00C465D1"/>
    <w:rsid w:val="00C466B7"/>
    <w:rsid w:val="00C475F4"/>
    <w:rsid w:val="00C509A0"/>
    <w:rsid w:val="00C50B00"/>
    <w:rsid w:val="00C50D5B"/>
    <w:rsid w:val="00C51513"/>
    <w:rsid w:val="00C51753"/>
    <w:rsid w:val="00C52E4A"/>
    <w:rsid w:val="00C53C86"/>
    <w:rsid w:val="00C54E0D"/>
    <w:rsid w:val="00C54F77"/>
    <w:rsid w:val="00C55A12"/>
    <w:rsid w:val="00C55BE1"/>
    <w:rsid w:val="00C560B0"/>
    <w:rsid w:val="00C562A1"/>
    <w:rsid w:val="00C5655B"/>
    <w:rsid w:val="00C56724"/>
    <w:rsid w:val="00C5696F"/>
    <w:rsid w:val="00C57B9B"/>
    <w:rsid w:val="00C60EEF"/>
    <w:rsid w:val="00C62422"/>
    <w:rsid w:val="00C64D54"/>
    <w:rsid w:val="00C65AD0"/>
    <w:rsid w:val="00C65C4B"/>
    <w:rsid w:val="00C66DAD"/>
    <w:rsid w:val="00C674CD"/>
    <w:rsid w:val="00C7049D"/>
    <w:rsid w:val="00C7157C"/>
    <w:rsid w:val="00C717FA"/>
    <w:rsid w:val="00C723B0"/>
    <w:rsid w:val="00C72C2C"/>
    <w:rsid w:val="00C73144"/>
    <w:rsid w:val="00C7371D"/>
    <w:rsid w:val="00C73C5C"/>
    <w:rsid w:val="00C74AE3"/>
    <w:rsid w:val="00C77463"/>
    <w:rsid w:val="00C80338"/>
    <w:rsid w:val="00C81C0C"/>
    <w:rsid w:val="00C82F20"/>
    <w:rsid w:val="00C83556"/>
    <w:rsid w:val="00C85B40"/>
    <w:rsid w:val="00C9020F"/>
    <w:rsid w:val="00C9039C"/>
    <w:rsid w:val="00C92CC1"/>
    <w:rsid w:val="00C92DF8"/>
    <w:rsid w:val="00C93C71"/>
    <w:rsid w:val="00C945A0"/>
    <w:rsid w:val="00C94B17"/>
    <w:rsid w:val="00C9624A"/>
    <w:rsid w:val="00C96BC6"/>
    <w:rsid w:val="00C96DD8"/>
    <w:rsid w:val="00C97380"/>
    <w:rsid w:val="00C97425"/>
    <w:rsid w:val="00CA02A5"/>
    <w:rsid w:val="00CA0AF8"/>
    <w:rsid w:val="00CA19F0"/>
    <w:rsid w:val="00CA1DCB"/>
    <w:rsid w:val="00CA2D60"/>
    <w:rsid w:val="00CA374B"/>
    <w:rsid w:val="00CA3BD0"/>
    <w:rsid w:val="00CA58A7"/>
    <w:rsid w:val="00CA5A2D"/>
    <w:rsid w:val="00CA7193"/>
    <w:rsid w:val="00CB141D"/>
    <w:rsid w:val="00CB1435"/>
    <w:rsid w:val="00CB1F11"/>
    <w:rsid w:val="00CB2A43"/>
    <w:rsid w:val="00CB2DF1"/>
    <w:rsid w:val="00CB326F"/>
    <w:rsid w:val="00CB3683"/>
    <w:rsid w:val="00CB3ABC"/>
    <w:rsid w:val="00CB5258"/>
    <w:rsid w:val="00CB75C6"/>
    <w:rsid w:val="00CB7828"/>
    <w:rsid w:val="00CB7CD7"/>
    <w:rsid w:val="00CB7EC5"/>
    <w:rsid w:val="00CC00B5"/>
    <w:rsid w:val="00CC01D6"/>
    <w:rsid w:val="00CC263B"/>
    <w:rsid w:val="00CC2CB7"/>
    <w:rsid w:val="00CC3052"/>
    <w:rsid w:val="00CC3247"/>
    <w:rsid w:val="00CC38FA"/>
    <w:rsid w:val="00CC5FD2"/>
    <w:rsid w:val="00CC6517"/>
    <w:rsid w:val="00CC6AD0"/>
    <w:rsid w:val="00CC7292"/>
    <w:rsid w:val="00CC7ADF"/>
    <w:rsid w:val="00CD1996"/>
    <w:rsid w:val="00CD2447"/>
    <w:rsid w:val="00CD2F82"/>
    <w:rsid w:val="00CD312A"/>
    <w:rsid w:val="00CD56F0"/>
    <w:rsid w:val="00CD77FD"/>
    <w:rsid w:val="00CD7F61"/>
    <w:rsid w:val="00CE0DD6"/>
    <w:rsid w:val="00CE0E7A"/>
    <w:rsid w:val="00CE0EBF"/>
    <w:rsid w:val="00CE1EA8"/>
    <w:rsid w:val="00CE3A00"/>
    <w:rsid w:val="00CE4371"/>
    <w:rsid w:val="00CE5179"/>
    <w:rsid w:val="00CE64CE"/>
    <w:rsid w:val="00CE6ADD"/>
    <w:rsid w:val="00CE6B07"/>
    <w:rsid w:val="00CE7A4C"/>
    <w:rsid w:val="00CF0345"/>
    <w:rsid w:val="00CF0DCD"/>
    <w:rsid w:val="00CF1215"/>
    <w:rsid w:val="00CF152E"/>
    <w:rsid w:val="00CF156A"/>
    <w:rsid w:val="00CF1D42"/>
    <w:rsid w:val="00CF265D"/>
    <w:rsid w:val="00CF461C"/>
    <w:rsid w:val="00CF51D4"/>
    <w:rsid w:val="00CF545E"/>
    <w:rsid w:val="00CF57A3"/>
    <w:rsid w:val="00CF74F5"/>
    <w:rsid w:val="00CF7791"/>
    <w:rsid w:val="00D00726"/>
    <w:rsid w:val="00D019FE"/>
    <w:rsid w:val="00D0296E"/>
    <w:rsid w:val="00D032D9"/>
    <w:rsid w:val="00D042C3"/>
    <w:rsid w:val="00D04462"/>
    <w:rsid w:val="00D0466A"/>
    <w:rsid w:val="00D04995"/>
    <w:rsid w:val="00D04CC5"/>
    <w:rsid w:val="00D056B2"/>
    <w:rsid w:val="00D06704"/>
    <w:rsid w:val="00D072D3"/>
    <w:rsid w:val="00D074C0"/>
    <w:rsid w:val="00D075D9"/>
    <w:rsid w:val="00D110CF"/>
    <w:rsid w:val="00D1117C"/>
    <w:rsid w:val="00D115F8"/>
    <w:rsid w:val="00D11AF4"/>
    <w:rsid w:val="00D11F10"/>
    <w:rsid w:val="00D12127"/>
    <w:rsid w:val="00D131D1"/>
    <w:rsid w:val="00D13B4E"/>
    <w:rsid w:val="00D15480"/>
    <w:rsid w:val="00D16427"/>
    <w:rsid w:val="00D1730D"/>
    <w:rsid w:val="00D17CAB"/>
    <w:rsid w:val="00D21E02"/>
    <w:rsid w:val="00D2360E"/>
    <w:rsid w:val="00D24036"/>
    <w:rsid w:val="00D24497"/>
    <w:rsid w:val="00D24D7C"/>
    <w:rsid w:val="00D25161"/>
    <w:rsid w:val="00D256AF"/>
    <w:rsid w:val="00D25D02"/>
    <w:rsid w:val="00D26BBD"/>
    <w:rsid w:val="00D31147"/>
    <w:rsid w:val="00D316ED"/>
    <w:rsid w:val="00D31AB1"/>
    <w:rsid w:val="00D327DB"/>
    <w:rsid w:val="00D32817"/>
    <w:rsid w:val="00D32DAC"/>
    <w:rsid w:val="00D33221"/>
    <w:rsid w:val="00D33FFE"/>
    <w:rsid w:val="00D349EC"/>
    <w:rsid w:val="00D35437"/>
    <w:rsid w:val="00D357C4"/>
    <w:rsid w:val="00D35CCF"/>
    <w:rsid w:val="00D40261"/>
    <w:rsid w:val="00D41AB7"/>
    <w:rsid w:val="00D43CBA"/>
    <w:rsid w:val="00D44348"/>
    <w:rsid w:val="00D443A3"/>
    <w:rsid w:val="00D44598"/>
    <w:rsid w:val="00D46064"/>
    <w:rsid w:val="00D467FF"/>
    <w:rsid w:val="00D50334"/>
    <w:rsid w:val="00D506B3"/>
    <w:rsid w:val="00D5100B"/>
    <w:rsid w:val="00D518B2"/>
    <w:rsid w:val="00D51FCA"/>
    <w:rsid w:val="00D528C0"/>
    <w:rsid w:val="00D52F46"/>
    <w:rsid w:val="00D53B5C"/>
    <w:rsid w:val="00D55755"/>
    <w:rsid w:val="00D56169"/>
    <w:rsid w:val="00D563A9"/>
    <w:rsid w:val="00D5655C"/>
    <w:rsid w:val="00D57D5E"/>
    <w:rsid w:val="00D60B84"/>
    <w:rsid w:val="00D622D0"/>
    <w:rsid w:val="00D62349"/>
    <w:rsid w:val="00D623BC"/>
    <w:rsid w:val="00D6260E"/>
    <w:rsid w:val="00D63481"/>
    <w:rsid w:val="00D64C67"/>
    <w:rsid w:val="00D64FFB"/>
    <w:rsid w:val="00D658F2"/>
    <w:rsid w:val="00D665D7"/>
    <w:rsid w:val="00D70708"/>
    <w:rsid w:val="00D710B8"/>
    <w:rsid w:val="00D712E9"/>
    <w:rsid w:val="00D72327"/>
    <w:rsid w:val="00D72B03"/>
    <w:rsid w:val="00D73CF1"/>
    <w:rsid w:val="00D7423A"/>
    <w:rsid w:val="00D74275"/>
    <w:rsid w:val="00D76073"/>
    <w:rsid w:val="00D8277B"/>
    <w:rsid w:val="00D82B2C"/>
    <w:rsid w:val="00D842BA"/>
    <w:rsid w:val="00D84884"/>
    <w:rsid w:val="00D859E3"/>
    <w:rsid w:val="00D8605F"/>
    <w:rsid w:val="00D87293"/>
    <w:rsid w:val="00D9035D"/>
    <w:rsid w:val="00D9079F"/>
    <w:rsid w:val="00D90A2B"/>
    <w:rsid w:val="00D913B0"/>
    <w:rsid w:val="00D91586"/>
    <w:rsid w:val="00D91591"/>
    <w:rsid w:val="00D94036"/>
    <w:rsid w:val="00D94145"/>
    <w:rsid w:val="00D95A92"/>
    <w:rsid w:val="00D96147"/>
    <w:rsid w:val="00D97359"/>
    <w:rsid w:val="00D9748C"/>
    <w:rsid w:val="00D97509"/>
    <w:rsid w:val="00D97FA7"/>
    <w:rsid w:val="00DA0B91"/>
    <w:rsid w:val="00DA0DD3"/>
    <w:rsid w:val="00DA0FE7"/>
    <w:rsid w:val="00DA16BC"/>
    <w:rsid w:val="00DA1AD3"/>
    <w:rsid w:val="00DA1ED0"/>
    <w:rsid w:val="00DA20F4"/>
    <w:rsid w:val="00DA22F2"/>
    <w:rsid w:val="00DA2AC9"/>
    <w:rsid w:val="00DA2BBC"/>
    <w:rsid w:val="00DA347E"/>
    <w:rsid w:val="00DA54C5"/>
    <w:rsid w:val="00DA7237"/>
    <w:rsid w:val="00DB1554"/>
    <w:rsid w:val="00DB1CEA"/>
    <w:rsid w:val="00DB1D18"/>
    <w:rsid w:val="00DB2AE3"/>
    <w:rsid w:val="00DB3005"/>
    <w:rsid w:val="00DB4D4C"/>
    <w:rsid w:val="00DB4D5D"/>
    <w:rsid w:val="00DB50E1"/>
    <w:rsid w:val="00DB521B"/>
    <w:rsid w:val="00DB5700"/>
    <w:rsid w:val="00DB6308"/>
    <w:rsid w:val="00DB63F1"/>
    <w:rsid w:val="00DB6598"/>
    <w:rsid w:val="00DB6650"/>
    <w:rsid w:val="00DB6C9E"/>
    <w:rsid w:val="00DC003F"/>
    <w:rsid w:val="00DC04F5"/>
    <w:rsid w:val="00DC09B5"/>
    <w:rsid w:val="00DC292B"/>
    <w:rsid w:val="00DC2FED"/>
    <w:rsid w:val="00DC3092"/>
    <w:rsid w:val="00DC334C"/>
    <w:rsid w:val="00DC382E"/>
    <w:rsid w:val="00DC3BDD"/>
    <w:rsid w:val="00DC40C8"/>
    <w:rsid w:val="00DC47B9"/>
    <w:rsid w:val="00DC4C92"/>
    <w:rsid w:val="00DC64A5"/>
    <w:rsid w:val="00DD07EB"/>
    <w:rsid w:val="00DD14D3"/>
    <w:rsid w:val="00DD1809"/>
    <w:rsid w:val="00DD2467"/>
    <w:rsid w:val="00DD29F8"/>
    <w:rsid w:val="00DD36DF"/>
    <w:rsid w:val="00DD3BB8"/>
    <w:rsid w:val="00DD3CC2"/>
    <w:rsid w:val="00DD4708"/>
    <w:rsid w:val="00DD4B83"/>
    <w:rsid w:val="00DD5480"/>
    <w:rsid w:val="00DD6C05"/>
    <w:rsid w:val="00DE0182"/>
    <w:rsid w:val="00DE0B7C"/>
    <w:rsid w:val="00DE107E"/>
    <w:rsid w:val="00DE11E9"/>
    <w:rsid w:val="00DE231D"/>
    <w:rsid w:val="00DE2814"/>
    <w:rsid w:val="00DE38D9"/>
    <w:rsid w:val="00DE4247"/>
    <w:rsid w:val="00DE7357"/>
    <w:rsid w:val="00DE74A4"/>
    <w:rsid w:val="00DF077F"/>
    <w:rsid w:val="00DF1375"/>
    <w:rsid w:val="00DF1C46"/>
    <w:rsid w:val="00DF2504"/>
    <w:rsid w:val="00DF2E5C"/>
    <w:rsid w:val="00DF2F47"/>
    <w:rsid w:val="00DF3538"/>
    <w:rsid w:val="00DF397C"/>
    <w:rsid w:val="00DF5A47"/>
    <w:rsid w:val="00DF6C7A"/>
    <w:rsid w:val="00DF7006"/>
    <w:rsid w:val="00DF7832"/>
    <w:rsid w:val="00DF7915"/>
    <w:rsid w:val="00E00A5F"/>
    <w:rsid w:val="00E010BD"/>
    <w:rsid w:val="00E01EF7"/>
    <w:rsid w:val="00E02932"/>
    <w:rsid w:val="00E03EC8"/>
    <w:rsid w:val="00E0440D"/>
    <w:rsid w:val="00E04E4C"/>
    <w:rsid w:val="00E05703"/>
    <w:rsid w:val="00E05A34"/>
    <w:rsid w:val="00E07464"/>
    <w:rsid w:val="00E101E2"/>
    <w:rsid w:val="00E107DD"/>
    <w:rsid w:val="00E1139E"/>
    <w:rsid w:val="00E12FDE"/>
    <w:rsid w:val="00E13FC3"/>
    <w:rsid w:val="00E14BDB"/>
    <w:rsid w:val="00E14DF7"/>
    <w:rsid w:val="00E200B8"/>
    <w:rsid w:val="00E20BBA"/>
    <w:rsid w:val="00E210AE"/>
    <w:rsid w:val="00E217FA"/>
    <w:rsid w:val="00E2343C"/>
    <w:rsid w:val="00E2343E"/>
    <w:rsid w:val="00E23BD3"/>
    <w:rsid w:val="00E247C3"/>
    <w:rsid w:val="00E2549C"/>
    <w:rsid w:val="00E25BF8"/>
    <w:rsid w:val="00E26031"/>
    <w:rsid w:val="00E263B6"/>
    <w:rsid w:val="00E3116F"/>
    <w:rsid w:val="00E31BB7"/>
    <w:rsid w:val="00E3272D"/>
    <w:rsid w:val="00E32E30"/>
    <w:rsid w:val="00E3420A"/>
    <w:rsid w:val="00E350A2"/>
    <w:rsid w:val="00E353E1"/>
    <w:rsid w:val="00E37072"/>
    <w:rsid w:val="00E37E86"/>
    <w:rsid w:val="00E40768"/>
    <w:rsid w:val="00E418B6"/>
    <w:rsid w:val="00E440A1"/>
    <w:rsid w:val="00E441AA"/>
    <w:rsid w:val="00E456BE"/>
    <w:rsid w:val="00E46136"/>
    <w:rsid w:val="00E46C3D"/>
    <w:rsid w:val="00E47B41"/>
    <w:rsid w:val="00E50472"/>
    <w:rsid w:val="00E50893"/>
    <w:rsid w:val="00E51A06"/>
    <w:rsid w:val="00E51D44"/>
    <w:rsid w:val="00E52572"/>
    <w:rsid w:val="00E53F67"/>
    <w:rsid w:val="00E54896"/>
    <w:rsid w:val="00E558B4"/>
    <w:rsid w:val="00E55BCC"/>
    <w:rsid w:val="00E55C5F"/>
    <w:rsid w:val="00E56552"/>
    <w:rsid w:val="00E61C7F"/>
    <w:rsid w:val="00E62672"/>
    <w:rsid w:val="00E639B4"/>
    <w:rsid w:val="00E63B4B"/>
    <w:rsid w:val="00E64233"/>
    <w:rsid w:val="00E655CE"/>
    <w:rsid w:val="00E65B82"/>
    <w:rsid w:val="00E673E9"/>
    <w:rsid w:val="00E67B5F"/>
    <w:rsid w:val="00E70D3E"/>
    <w:rsid w:val="00E71F7A"/>
    <w:rsid w:val="00E72E45"/>
    <w:rsid w:val="00E742E0"/>
    <w:rsid w:val="00E74823"/>
    <w:rsid w:val="00E7498E"/>
    <w:rsid w:val="00E755CE"/>
    <w:rsid w:val="00E7618A"/>
    <w:rsid w:val="00E76659"/>
    <w:rsid w:val="00E76CA0"/>
    <w:rsid w:val="00E77097"/>
    <w:rsid w:val="00E7762E"/>
    <w:rsid w:val="00E77D79"/>
    <w:rsid w:val="00E77F03"/>
    <w:rsid w:val="00E82C6E"/>
    <w:rsid w:val="00E83078"/>
    <w:rsid w:val="00E830A9"/>
    <w:rsid w:val="00E835B4"/>
    <w:rsid w:val="00E85AAA"/>
    <w:rsid w:val="00E86399"/>
    <w:rsid w:val="00E864D2"/>
    <w:rsid w:val="00E90075"/>
    <w:rsid w:val="00E9028F"/>
    <w:rsid w:val="00E90381"/>
    <w:rsid w:val="00E907AE"/>
    <w:rsid w:val="00E91376"/>
    <w:rsid w:val="00E91EC4"/>
    <w:rsid w:val="00E92591"/>
    <w:rsid w:val="00E92AE2"/>
    <w:rsid w:val="00E936F2"/>
    <w:rsid w:val="00E94957"/>
    <w:rsid w:val="00E94C2B"/>
    <w:rsid w:val="00E95AF9"/>
    <w:rsid w:val="00E95D83"/>
    <w:rsid w:val="00E97818"/>
    <w:rsid w:val="00EA0012"/>
    <w:rsid w:val="00EA29BF"/>
    <w:rsid w:val="00EA33BB"/>
    <w:rsid w:val="00EA4358"/>
    <w:rsid w:val="00EA5C5F"/>
    <w:rsid w:val="00EA6C58"/>
    <w:rsid w:val="00EA7294"/>
    <w:rsid w:val="00EB0473"/>
    <w:rsid w:val="00EB0AA0"/>
    <w:rsid w:val="00EB28A8"/>
    <w:rsid w:val="00EB2B42"/>
    <w:rsid w:val="00EB3A29"/>
    <w:rsid w:val="00EB3A58"/>
    <w:rsid w:val="00EB4D4C"/>
    <w:rsid w:val="00EB5A2C"/>
    <w:rsid w:val="00EB7825"/>
    <w:rsid w:val="00EC2F63"/>
    <w:rsid w:val="00EC30E7"/>
    <w:rsid w:val="00EC3491"/>
    <w:rsid w:val="00EC39D7"/>
    <w:rsid w:val="00EC5C3C"/>
    <w:rsid w:val="00EC6793"/>
    <w:rsid w:val="00EC6D07"/>
    <w:rsid w:val="00EC7016"/>
    <w:rsid w:val="00EC7671"/>
    <w:rsid w:val="00ED023F"/>
    <w:rsid w:val="00ED0A11"/>
    <w:rsid w:val="00ED23CC"/>
    <w:rsid w:val="00ED2653"/>
    <w:rsid w:val="00ED2F28"/>
    <w:rsid w:val="00EE0C5F"/>
    <w:rsid w:val="00EE1CD1"/>
    <w:rsid w:val="00EE22B5"/>
    <w:rsid w:val="00EE2B45"/>
    <w:rsid w:val="00EE2CDB"/>
    <w:rsid w:val="00EE30CF"/>
    <w:rsid w:val="00EE3DE2"/>
    <w:rsid w:val="00EE4F46"/>
    <w:rsid w:val="00EE6DB0"/>
    <w:rsid w:val="00EE7063"/>
    <w:rsid w:val="00EE74FA"/>
    <w:rsid w:val="00EF1357"/>
    <w:rsid w:val="00EF169D"/>
    <w:rsid w:val="00EF3062"/>
    <w:rsid w:val="00EF5A3C"/>
    <w:rsid w:val="00EF6139"/>
    <w:rsid w:val="00EF62A1"/>
    <w:rsid w:val="00EF6467"/>
    <w:rsid w:val="00EF661C"/>
    <w:rsid w:val="00EF6CC3"/>
    <w:rsid w:val="00EF76AC"/>
    <w:rsid w:val="00EF784A"/>
    <w:rsid w:val="00F0020E"/>
    <w:rsid w:val="00F02099"/>
    <w:rsid w:val="00F02127"/>
    <w:rsid w:val="00F02508"/>
    <w:rsid w:val="00F025E7"/>
    <w:rsid w:val="00F03134"/>
    <w:rsid w:val="00F0592C"/>
    <w:rsid w:val="00F059EF"/>
    <w:rsid w:val="00F06A3E"/>
    <w:rsid w:val="00F06BBE"/>
    <w:rsid w:val="00F06D89"/>
    <w:rsid w:val="00F07E81"/>
    <w:rsid w:val="00F11088"/>
    <w:rsid w:val="00F11DB8"/>
    <w:rsid w:val="00F12045"/>
    <w:rsid w:val="00F121D8"/>
    <w:rsid w:val="00F1304B"/>
    <w:rsid w:val="00F133F4"/>
    <w:rsid w:val="00F20DDD"/>
    <w:rsid w:val="00F22078"/>
    <w:rsid w:val="00F22740"/>
    <w:rsid w:val="00F22846"/>
    <w:rsid w:val="00F22A38"/>
    <w:rsid w:val="00F230EC"/>
    <w:rsid w:val="00F24335"/>
    <w:rsid w:val="00F24ADC"/>
    <w:rsid w:val="00F26D26"/>
    <w:rsid w:val="00F313EF"/>
    <w:rsid w:val="00F31D6D"/>
    <w:rsid w:val="00F32028"/>
    <w:rsid w:val="00F330DC"/>
    <w:rsid w:val="00F33687"/>
    <w:rsid w:val="00F33D40"/>
    <w:rsid w:val="00F3465F"/>
    <w:rsid w:val="00F35487"/>
    <w:rsid w:val="00F370BA"/>
    <w:rsid w:val="00F37739"/>
    <w:rsid w:val="00F40119"/>
    <w:rsid w:val="00F41C4D"/>
    <w:rsid w:val="00F41FA2"/>
    <w:rsid w:val="00F429AE"/>
    <w:rsid w:val="00F42D58"/>
    <w:rsid w:val="00F43A7D"/>
    <w:rsid w:val="00F43D77"/>
    <w:rsid w:val="00F4499C"/>
    <w:rsid w:val="00F44B46"/>
    <w:rsid w:val="00F44DE6"/>
    <w:rsid w:val="00F4575B"/>
    <w:rsid w:val="00F45ED5"/>
    <w:rsid w:val="00F45F04"/>
    <w:rsid w:val="00F4622D"/>
    <w:rsid w:val="00F4695F"/>
    <w:rsid w:val="00F47879"/>
    <w:rsid w:val="00F50FA4"/>
    <w:rsid w:val="00F5286B"/>
    <w:rsid w:val="00F52F04"/>
    <w:rsid w:val="00F564DE"/>
    <w:rsid w:val="00F6077E"/>
    <w:rsid w:val="00F61D2D"/>
    <w:rsid w:val="00F62109"/>
    <w:rsid w:val="00F63894"/>
    <w:rsid w:val="00F64008"/>
    <w:rsid w:val="00F64AEA"/>
    <w:rsid w:val="00F64F89"/>
    <w:rsid w:val="00F65F3F"/>
    <w:rsid w:val="00F67276"/>
    <w:rsid w:val="00F67D7A"/>
    <w:rsid w:val="00F70907"/>
    <w:rsid w:val="00F70DAD"/>
    <w:rsid w:val="00F710AE"/>
    <w:rsid w:val="00F72B0F"/>
    <w:rsid w:val="00F73A24"/>
    <w:rsid w:val="00F741D1"/>
    <w:rsid w:val="00F744BA"/>
    <w:rsid w:val="00F752C2"/>
    <w:rsid w:val="00F763B8"/>
    <w:rsid w:val="00F7687B"/>
    <w:rsid w:val="00F77A78"/>
    <w:rsid w:val="00F801B5"/>
    <w:rsid w:val="00F8222E"/>
    <w:rsid w:val="00F82AE9"/>
    <w:rsid w:val="00F82B88"/>
    <w:rsid w:val="00F85DA9"/>
    <w:rsid w:val="00F86040"/>
    <w:rsid w:val="00F86E05"/>
    <w:rsid w:val="00F90325"/>
    <w:rsid w:val="00F93701"/>
    <w:rsid w:val="00F944C6"/>
    <w:rsid w:val="00F95160"/>
    <w:rsid w:val="00F965AB"/>
    <w:rsid w:val="00F97BBC"/>
    <w:rsid w:val="00FA0371"/>
    <w:rsid w:val="00FA06EA"/>
    <w:rsid w:val="00FA16D9"/>
    <w:rsid w:val="00FA1935"/>
    <w:rsid w:val="00FA1A8D"/>
    <w:rsid w:val="00FA1F98"/>
    <w:rsid w:val="00FA2956"/>
    <w:rsid w:val="00FA37D3"/>
    <w:rsid w:val="00FA390E"/>
    <w:rsid w:val="00FA3D27"/>
    <w:rsid w:val="00FB0752"/>
    <w:rsid w:val="00FB1617"/>
    <w:rsid w:val="00FB1FE3"/>
    <w:rsid w:val="00FB388C"/>
    <w:rsid w:val="00FB4ADB"/>
    <w:rsid w:val="00FB4FDA"/>
    <w:rsid w:val="00FB7864"/>
    <w:rsid w:val="00FB78B0"/>
    <w:rsid w:val="00FC017D"/>
    <w:rsid w:val="00FC03A5"/>
    <w:rsid w:val="00FC10EC"/>
    <w:rsid w:val="00FC11A1"/>
    <w:rsid w:val="00FC2161"/>
    <w:rsid w:val="00FC2362"/>
    <w:rsid w:val="00FC314A"/>
    <w:rsid w:val="00FC4FEF"/>
    <w:rsid w:val="00FC5B23"/>
    <w:rsid w:val="00FC5BF2"/>
    <w:rsid w:val="00FC5C81"/>
    <w:rsid w:val="00FC5F13"/>
    <w:rsid w:val="00FC6435"/>
    <w:rsid w:val="00FC6F78"/>
    <w:rsid w:val="00FC721C"/>
    <w:rsid w:val="00FD0077"/>
    <w:rsid w:val="00FD19BD"/>
    <w:rsid w:val="00FD1D3A"/>
    <w:rsid w:val="00FD39EE"/>
    <w:rsid w:val="00FD4A14"/>
    <w:rsid w:val="00FD4EC8"/>
    <w:rsid w:val="00FD524D"/>
    <w:rsid w:val="00FD53A3"/>
    <w:rsid w:val="00FD54AF"/>
    <w:rsid w:val="00FD5867"/>
    <w:rsid w:val="00FD5F64"/>
    <w:rsid w:val="00FD748C"/>
    <w:rsid w:val="00FD7B45"/>
    <w:rsid w:val="00FE0FC2"/>
    <w:rsid w:val="00FE10F0"/>
    <w:rsid w:val="00FE2B2D"/>
    <w:rsid w:val="00FE30E8"/>
    <w:rsid w:val="00FE4A12"/>
    <w:rsid w:val="00FE4C50"/>
    <w:rsid w:val="00FE5223"/>
    <w:rsid w:val="00FE5E70"/>
    <w:rsid w:val="00FE7FD8"/>
    <w:rsid w:val="00FF039A"/>
    <w:rsid w:val="00FF0AD6"/>
    <w:rsid w:val="00FF15E7"/>
    <w:rsid w:val="00FF1B74"/>
    <w:rsid w:val="00FF2536"/>
    <w:rsid w:val="00FF2686"/>
    <w:rsid w:val="00FF6E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21F6F8"/>
  <w15:docId w15:val="{9640E848-813D-4F04-9D8F-4342C8CD7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414042" w:themeColor="text1"/>
        <w:sz w:val="22"/>
        <w:szCs w:val="22"/>
        <w:lang w:val="en-AU" w:eastAsia="en-AU" w:bidi="ar-SA"/>
      </w:rPr>
    </w:rPrDefault>
    <w:pPrDefault>
      <w:pPr>
        <w:spacing w:before="100" w:after="1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0"/>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52AB"/>
  </w:style>
  <w:style w:type="paragraph" w:styleId="Heading1">
    <w:name w:val="heading 1"/>
    <w:basedOn w:val="Normal"/>
    <w:next w:val="Normal"/>
    <w:link w:val="Heading1Char"/>
    <w:uiPriority w:val="9"/>
    <w:qFormat/>
    <w:rsid w:val="00C73144"/>
    <w:pPr>
      <w:keepNext/>
      <w:keepLines/>
      <w:spacing w:before="480" w:after="240" w:line="500" w:lineRule="exact"/>
      <w:ind w:right="1984"/>
      <w:contextualSpacing/>
      <w:outlineLvl w:val="0"/>
    </w:pPr>
    <w:rPr>
      <w:rFonts w:asciiTheme="majorHAnsi" w:eastAsiaTheme="majorEastAsia" w:hAnsiTheme="majorHAnsi" w:cs="Times New Roman"/>
      <w:b/>
      <w:bCs/>
      <w:iCs/>
      <w:caps/>
      <w:color w:val="1C3867" w:themeColor="text2"/>
      <w:sz w:val="48"/>
      <w:szCs w:val="48"/>
      <w:lang w:val="en-US" w:bidi="en-US"/>
    </w:rPr>
  </w:style>
  <w:style w:type="paragraph" w:styleId="Heading2">
    <w:name w:val="heading 2"/>
    <w:next w:val="Normal"/>
    <w:link w:val="Heading2Char"/>
    <w:unhideWhenUsed/>
    <w:qFormat/>
    <w:rsid w:val="00BB7C3A"/>
    <w:pPr>
      <w:keepNext/>
      <w:keepLines/>
      <w:spacing w:before="240"/>
      <w:outlineLvl w:val="1"/>
    </w:pPr>
    <w:rPr>
      <w:rFonts w:asciiTheme="majorHAnsi" w:eastAsia="Times New Roman" w:hAnsiTheme="majorHAnsi" w:cs="Times New Roman"/>
      <w:b/>
      <w:bCs/>
      <w:iCs/>
      <w:color w:val="000000"/>
      <w:sz w:val="28"/>
      <w:lang w:val="en-US" w:bidi="en-US"/>
    </w:rPr>
  </w:style>
  <w:style w:type="paragraph" w:styleId="Heading3">
    <w:name w:val="heading 3"/>
    <w:basedOn w:val="Normal"/>
    <w:next w:val="Normal"/>
    <w:link w:val="Heading3Char"/>
    <w:qFormat/>
    <w:rsid w:val="00BB7C3A"/>
    <w:pPr>
      <w:keepNext/>
      <w:keepLines/>
      <w:spacing w:before="200" w:line="240" w:lineRule="auto"/>
      <w:contextualSpacing/>
      <w:outlineLvl w:val="2"/>
    </w:pPr>
    <w:rPr>
      <w:rFonts w:asciiTheme="majorHAnsi" w:eastAsia="Times New Roman" w:hAnsiTheme="majorHAnsi" w:cs="Times New Roman"/>
      <w:b/>
      <w:bCs/>
      <w:iCs/>
      <w:caps/>
      <w:color w:val="1C3867" w:themeColor="text2"/>
      <w:lang w:val="en-US" w:bidi="en-US"/>
    </w:rPr>
  </w:style>
  <w:style w:type="paragraph" w:styleId="Heading4">
    <w:name w:val="heading 4"/>
    <w:basedOn w:val="Normal"/>
    <w:next w:val="Normal"/>
    <w:link w:val="Heading4Char"/>
    <w:unhideWhenUsed/>
    <w:qFormat/>
    <w:rsid w:val="001C5785"/>
    <w:pPr>
      <w:keepNext/>
      <w:keepLines/>
      <w:spacing w:before="200" w:after="240"/>
      <w:outlineLvl w:val="3"/>
    </w:pPr>
    <w:rPr>
      <w:rFonts w:asciiTheme="majorHAnsi" w:eastAsiaTheme="majorEastAsia" w:hAnsiTheme="majorHAnsi" w:cstheme="majorBidi"/>
      <w:b/>
      <w:bCs/>
      <w:i/>
      <w:iCs/>
      <w:lang w:val="en-US"/>
    </w:rPr>
  </w:style>
  <w:style w:type="paragraph" w:styleId="Heading5">
    <w:name w:val="heading 5"/>
    <w:basedOn w:val="Normal"/>
    <w:next w:val="Normal"/>
    <w:link w:val="Heading5Char"/>
    <w:uiPriority w:val="9"/>
    <w:unhideWhenUsed/>
    <w:qFormat/>
    <w:rsid w:val="0096478F"/>
    <w:pPr>
      <w:keepNext/>
      <w:numPr>
        <w:ilvl w:val="1"/>
        <w:numId w:val="1"/>
      </w:numPr>
      <w:spacing w:before="240"/>
      <w:ind w:left="578" w:hanging="578"/>
      <w:outlineLvl w:val="4"/>
    </w:pPr>
    <w:rPr>
      <w:rFonts w:asciiTheme="majorHAnsi" w:eastAsiaTheme="majorEastAsia" w:hAnsiTheme="majorHAnsi" w:cstheme="majorBidi"/>
      <w:b/>
      <w:bCs/>
      <w:caps/>
      <w:color w:val="1C3867" w:themeColor="text2"/>
      <w:szCs w:val="26"/>
    </w:rPr>
  </w:style>
  <w:style w:type="paragraph" w:styleId="Heading6">
    <w:name w:val="heading 6"/>
    <w:basedOn w:val="Normal"/>
    <w:next w:val="Normal"/>
    <w:link w:val="Heading6Char"/>
    <w:uiPriority w:val="9"/>
    <w:unhideWhenUsed/>
    <w:qFormat/>
    <w:rsid w:val="0096478F"/>
    <w:pPr>
      <w:keepNext/>
      <w:numPr>
        <w:ilvl w:val="2"/>
        <w:numId w:val="1"/>
      </w:numPr>
      <w:spacing w:before="240"/>
      <w:outlineLvl w:val="5"/>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3144"/>
    <w:rPr>
      <w:rFonts w:asciiTheme="majorHAnsi" w:eastAsiaTheme="majorEastAsia" w:hAnsiTheme="majorHAnsi" w:cs="Times New Roman"/>
      <w:b/>
      <w:bCs/>
      <w:iCs/>
      <w:caps/>
      <w:color w:val="1C3867" w:themeColor="text2"/>
      <w:sz w:val="48"/>
      <w:szCs w:val="48"/>
      <w:lang w:val="en-US" w:bidi="en-US"/>
    </w:rPr>
  </w:style>
  <w:style w:type="character" w:customStyle="1" w:styleId="Heading2Char">
    <w:name w:val="Heading 2 Char"/>
    <w:basedOn w:val="DefaultParagraphFont"/>
    <w:link w:val="Heading2"/>
    <w:rsid w:val="00BB7C3A"/>
    <w:rPr>
      <w:rFonts w:asciiTheme="majorHAnsi" w:eastAsia="Times New Roman" w:hAnsiTheme="majorHAnsi" w:cs="Times New Roman"/>
      <w:b/>
      <w:bCs/>
      <w:iCs/>
      <w:color w:val="000000"/>
      <w:sz w:val="28"/>
      <w:lang w:val="en-US" w:bidi="en-US"/>
    </w:rPr>
  </w:style>
  <w:style w:type="character" w:customStyle="1" w:styleId="Heading3Char">
    <w:name w:val="Heading 3 Char"/>
    <w:basedOn w:val="DefaultParagraphFont"/>
    <w:link w:val="Heading3"/>
    <w:rsid w:val="00BB7C3A"/>
    <w:rPr>
      <w:rFonts w:asciiTheme="majorHAnsi" w:eastAsia="Times New Roman" w:hAnsiTheme="majorHAnsi" w:cs="Times New Roman"/>
      <w:b/>
      <w:bCs/>
      <w:iCs/>
      <w:caps/>
      <w:color w:val="1C3867" w:themeColor="text2"/>
      <w:lang w:val="en-US" w:bidi="en-US"/>
    </w:rPr>
  </w:style>
  <w:style w:type="character" w:customStyle="1" w:styleId="Heading4Char">
    <w:name w:val="Heading 4 Char"/>
    <w:basedOn w:val="DefaultParagraphFont"/>
    <w:link w:val="Heading4"/>
    <w:rsid w:val="001C5785"/>
    <w:rPr>
      <w:rFonts w:asciiTheme="majorHAnsi" w:eastAsiaTheme="majorEastAsia" w:hAnsiTheme="majorHAnsi" w:cstheme="majorBidi"/>
      <w:b/>
      <w:bCs/>
      <w:i/>
      <w:iCs/>
      <w:lang w:val="en-US"/>
    </w:rPr>
  </w:style>
  <w:style w:type="paragraph" w:styleId="ListParagraph">
    <w:name w:val="List Paragraph"/>
    <w:basedOn w:val="Normal"/>
    <w:uiPriority w:val="34"/>
    <w:qFormat/>
    <w:rsid w:val="00481A71"/>
    <w:pPr>
      <w:spacing w:line="288" w:lineRule="auto"/>
      <w:ind w:left="720"/>
      <w:contextualSpacing/>
    </w:pPr>
    <w:rPr>
      <w:rFonts w:ascii="Calibri" w:eastAsia="Times New Roman" w:hAnsi="Calibri" w:cs="Times New Roman"/>
      <w:i/>
      <w:iCs/>
      <w:szCs w:val="20"/>
      <w:lang w:bidi="en-US"/>
    </w:rPr>
  </w:style>
  <w:style w:type="character" w:styleId="SubtleReference">
    <w:name w:val="Subtle Reference"/>
    <w:rsid w:val="00481A71"/>
    <w:rPr>
      <w:i/>
      <w:iCs/>
      <w:smallCaps/>
      <w:color w:val="C0504D"/>
      <w:u w:color="C0504D"/>
    </w:rPr>
  </w:style>
  <w:style w:type="paragraph" w:styleId="Header">
    <w:name w:val="header"/>
    <w:basedOn w:val="Normal"/>
    <w:link w:val="HeaderChar"/>
    <w:rsid w:val="00076007"/>
    <w:pPr>
      <w:tabs>
        <w:tab w:val="center" w:pos="4513"/>
        <w:tab w:val="right" w:pos="9026"/>
      </w:tabs>
      <w:spacing w:before="0" w:after="0" w:line="288" w:lineRule="auto"/>
      <w:ind w:right="-873"/>
      <w:jc w:val="right"/>
    </w:pPr>
    <w:rPr>
      <w:rFonts w:ascii="Calibri" w:eastAsia="Times New Roman" w:hAnsi="Calibri" w:cs="Times New Roman"/>
      <w:iCs/>
      <w:szCs w:val="20"/>
      <w:lang w:bidi="en-US"/>
    </w:rPr>
  </w:style>
  <w:style w:type="character" w:customStyle="1" w:styleId="HeaderChar">
    <w:name w:val="Header Char"/>
    <w:basedOn w:val="DefaultParagraphFont"/>
    <w:link w:val="Header"/>
    <w:rsid w:val="00076007"/>
    <w:rPr>
      <w:rFonts w:ascii="Calibri" w:eastAsia="Times New Roman" w:hAnsi="Calibri" w:cs="Times New Roman"/>
      <w:iCs/>
      <w:szCs w:val="20"/>
      <w:lang w:bidi="en-US"/>
    </w:rPr>
  </w:style>
  <w:style w:type="paragraph" w:styleId="Footer">
    <w:name w:val="footer"/>
    <w:basedOn w:val="Normal"/>
    <w:link w:val="FooterChar"/>
    <w:uiPriority w:val="99"/>
    <w:rsid w:val="00B108C5"/>
    <w:pPr>
      <w:spacing w:before="0" w:after="0" w:line="240" w:lineRule="auto"/>
    </w:pPr>
    <w:rPr>
      <w:rFonts w:ascii="Calibri Light" w:hAnsi="Calibri Light"/>
      <w:sz w:val="20"/>
    </w:rPr>
  </w:style>
  <w:style w:type="character" w:customStyle="1" w:styleId="FooterChar">
    <w:name w:val="Footer Char"/>
    <w:basedOn w:val="DefaultParagraphFont"/>
    <w:link w:val="Footer"/>
    <w:uiPriority w:val="99"/>
    <w:rsid w:val="00B108C5"/>
    <w:rPr>
      <w:rFonts w:ascii="Calibri Light" w:hAnsi="Calibri Light"/>
      <w:sz w:val="20"/>
    </w:rPr>
  </w:style>
  <w:style w:type="table" w:customStyle="1" w:styleId="LightList-Accent11">
    <w:name w:val="Light List - Accent 11"/>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customStyle="1" w:styleId="TableText">
    <w:name w:val="Table Text"/>
    <w:basedOn w:val="Normal"/>
    <w:rsid w:val="00481A71"/>
    <w:pPr>
      <w:spacing w:after="0" w:line="240" w:lineRule="auto"/>
    </w:pPr>
    <w:rPr>
      <w:rFonts w:ascii="Arial" w:hAnsi="Arial"/>
      <w:i/>
      <w:iCs/>
      <w:lang w:val="en-US"/>
    </w:rPr>
  </w:style>
  <w:style w:type="paragraph" w:customStyle="1" w:styleId="TableHeading">
    <w:name w:val="Table Heading"/>
    <w:basedOn w:val="Normal"/>
    <w:rsid w:val="00481A71"/>
    <w:pPr>
      <w:spacing w:before="60" w:after="60" w:line="240" w:lineRule="auto"/>
    </w:pPr>
    <w:rPr>
      <w:rFonts w:ascii="Arial Narrow" w:hAnsi="Arial Narrow"/>
      <w:b/>
      <w:i/>
      <w:iCs/>
      <w:lang w:val="en-US"/>
    </w:rPr>
  </w:style>
  <w:style w:type="character" w:styleId="Strong">
    <w:name w:val="Strong"/>
    <w:qFormat/>
    <w:rsid w:val="00481A71"/>
    <w:rPr>
      <w:b/>
      <w:bCs/>
      <w:spacing w:val="0"/>
    </w:rPr>
  </w:style>
  <w:style w:type="paragraph" w:styleId="Quote">
    <w:name w:val="Quote"/>
    <w:basedOn w:val="Normal"/>
    <w:next w:val="Normal"/>
    <w:link w:val="QuoteChar"/>
    <w:rsid w:val="00481A71"/>
    <w:pPr>
      <w:spacing w:before="120" w:after="120" w:line="288" w:lineRule="auto"/>
    </w:pPr>
    <w:rPr>
      <w:rFonts w:ascii="Calibri" w:eastAsia="Times New Roman" w:hAnsi="Calibri" w:cs="Times New Roman"/>
      <w:b/>
      <w:color w:val="948A54"/>
      <w:szCs w:val="20"/>
      <w:lang w:bidi="en-US"/>
    </w:rPr>
  </w:style>
  <w:style w:type="character" w:customStyle="1" w:styleId="QuoteChar">
    <w:name w:val="Quote Char"/>
    <w:basedOn w:val="DefaultParagraphFont"/>
    <w:link w:val="Quote"/>
    <w:rsid w:val="00481A71"/>
    <w:rPr>
      <w:rFonts w:ascii="Calibri" w:eastAsia="Times New Roman" w:hAnsi="Calibri" w:cs="Times New Roman"/>
      <w:b/>
      <w:color w:val="948A54"/>
      <w:szCs w:val="20"/>
      <w:lang w:bidi="en-US"/>
    </w:rPr>
  </w:style>
  <w:style w:type="paragraph" w:customStyle="1" w:styleId="SOACoverPage">
    <w:name w:val="SOA Cover Page"/>
    <w:basedOn w:val="Normal"/>
    <w:rsid w:val="00481A71"/>
    <w:pPr>
      <w:spacing w:after="0" w:line="312" w:lineRule="auto"/>
      <w:jc w:val="center"/>
    </w:pPr>
    <w:rPr>
      <w:rFonts w:ascii="Century Gothic" w:eastAsia="Times New Roman" w:hAnsi="Century Gothic" w:cs="Times New Roman"/>
      <w:sz w:val="20"/>
      <w:szCs w:val="20"/>
    </w:rPr>
  </w:style>
  <w:style w:type="paragraph" w:customStyle="1" w:styleId="NoteText">
    <w:name w:val="Note Text"/>
    <w:basedOn w:val="Normal"/>
    <w:rsid w:val="00481A71"/>
    <w:pPr>
      <w:spacing w:after="240" w:line="240" w:lineRule="auto"/>
    </w:pPr>
    <w:rPr>
      <w:rFonts w:ascii="Arial" w:eastAsia="Calibri" w:hAnsi="Arial" w:cs="Times New Roman"/>
      <w:iCs/>
      <w:sz w:val="20"/>
    </w:rPr>
  </w:style>
  <w:style w:type="character" w:customStyle="1" w:styleId="Heading5Char">
    <w:name w:val="Heading 5 Char"/>
    <w:basedOn w:val="DefaultParagraphFont"/>
    <w:link w:val="Heading5"/>
    <w:uiPriority w:val="9"/>
    <w:rsid w:val="0096478F"/>
    <w:rPr>
      <w:rFonts w:asciiTheme="majorHAnsi" w:eastAsiaTheme="majorEastAsia" w:hAnsiTheme="majorHAnsi" w:cstheme="majorBidi"/>
      <w:b/>
      <w:bCs/>
      <w:caps/>
      <w:color w:val="1C3867" w:themeColor="text2"/>
      <w:szCs w:val="26"/>
    </w:rPr>
  </w:style>
  <w:style w:type="character" w:customStyle="1" w:styleId="Heading6Char">
    <w:name w:val="Heading 6 Char"/>
    <w:basedOn w:val="DefaultParagraphFont"/>
    <w:link w:val="Heading6"/>
    <w:uiPriority w:val="9"/>
    <w:rsid w:val="0096478F"/>
    <w:rPr>
      <w:rFonts w:asciiTheme="majorHAnsi" w:eastAsiaTheme="majorEastAsia" w:hAnsiTheme="majorHAnsi" w:cstheme="majorBidi"/>
      <w:b/>
      <w:bCs/>
    </w:rPr>
  </w:style>
  <w:style w:type="paragraph" w:styleId="ListBullet">
    <w:name w:val="List Bullet"/>
    <w:basedOn w:val="Normal"/>
    <w:uiPriority w:val="99"/>
    <w:unhideWhenUsed/>
    <w:qFormat/>
    <w:rsid w:val="00D04995"/>
    <w:pPr>
      <w:numPr>
        <w:numId w:val="2"/>
      </w:numPr>
    </w:pPr>
  </w:style>
  <w:style w:type="character" w:styleId="Emphasis">
    <w:name w:val="Emphasis"/>
    <w:basedOn w:val="DefaultParagraphFont"/>
    <w:uiPriority w:val="20"/>
    <w:qFormat/>
    <w:rsid w:val="003F48A6"/>
    <w:rPr>
      <w:i/>
      <w:iCs/>
    </w:rPr>
  </w:style>
  <w:style w:type="paragraph" w:customStyle="1" w:styleId="RecommendationText">
    <w:name w:val="Recommendation Text"/>
    <w:basedOn w:val="Normal"/>
    <w:rsid w:val="00481A71"/>
    <w:pPr>
      <w:spacing w:after="240" w:line="240" w:lineRule="auto"/>
      <w:ind w:left="567"/>
    </w:pPr>
    <w:rPr>
      <w:rFonts w:ascii="Arial" w:hAnsi="Arial"/>
      <w:i/>
      <w:iCs/>
      <w:lang w:val="en-US"/>
    </w:rPr>
  </w:style>
  <w:style w:type="table" w:customStyle="1" w:styleId="LightList-Accent12">
    <w:name w:val="Light List - Accent 12"/>
    <w:basedOn w:val="TableNormal"/>
    <w:rsid w:val="00481A7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jc w:val="left"/>
      </w:pPr>
      <w:rPr>
        <w:b/>
        <w:bCs/>
        <w:color w:val="FFFFFF" w:themeColor="background1"/>
      </w:rPr>
      <w:tblPr/>
      <w:tcPr>
        <w:shd w:val="clear" w:color="auto" w:fill="1C3867" w:themeFill="text2"/>
      </w:tcPr>
    </w:tblStylePr>
    <w:tblStylePr w:type="lastRow">
      <w:pPr>
        <w:spacing w:before="0" w:after="0" w:line="240" w:lineRule="auto"/>
      </w:pPr>
      <w:rPr>
        <w:b/>
        <w:bCs/>
      </w:rPr>
      <w:tblPr/>
      <w:tcPr>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BodyTextIndent">
    <w:name w:val="Body Text Indent"/>
    <w:basedOn w:val="Normal"/>
    <w:link w:val="BodyTextIndentChar"/>
    <w:rsid w:val="00481A71"/>
    <w:pPr>
      <w:spacing w:after="120" w:line="240" w:lineRule="auto"/>
      <w:ind w:left="283"/>
    </w:pPr>
    <w:rPr>
      <w:rFonts w:ascii="Arial" w:eastAsia="Times New Roman" w:hAnsi="Arial" w:cs="Times New Roman"/>
      <w:szCs w:val="20"/>
    </w:rPr>
  </w:style>
  <w:style w:type="character" w:customStyle="1" w:styleId="BodyTextIndentChar">
    <w:name w:val="Body Text Indent Char"/>
    <w:basedOn w:val="DefaultParagraphFont"/>
    <w:link w:val="BodyTextIndent"/>
    <w:rsid w:val="00481A71"/>
    <w:rPr>
      <w:rFonts w:ascii="Arial" w:eastAsia="Times New Roman" w:hAnsi="Arial" w:cs="Times New Roman"/>
      <w:szCs w:val="20"/>
    </w:rPr>
  </w:style>
  <w:style w:type="table" w:styleId="TableGrid">
    <w:name w:val="Table Grid"/>
    <w:basedOn w:val="TableNormal"/>
    <w:uiPriority w:val="59"/>
    <w:rsid w:val="00481A71"/>
    <w:pPr>
      <w:spacing w:after="0" w:line="240" w:lineRule="auto"/>
    </w:pPr>
    <w:rPr>
      <w:rFonts w:ascii="Calibri" w:eastAsia="Times New Roman"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5672D8"/>
    <w:pPr>
      <w:spacing w:before="0" w:after="80" w:line="240" w:lineRule="auto"/>
    </w:pPr>
    <w:rPr>
      <w:rFonts w:ascii="Calibri Light" w:eastAsia="Times New Roman" w:hAnsi="Calibri Light" w:cs="Times New Roman"/>
      <w:iCs/>
      <w:color w:val="85754E" w:themeColor="background2"/>
      <w:spacing w:val="10"/>
      <w:sz w:val="52"/>
      <w:szCs w:val="48"/>
      <w:lang w:bidi="en-US"/>
    </w:rPr>
  </w:style>
  <w:style w:type="character" w:customStyle="1" w:styleId="TitleChar">
    <w:name w:val="Title Char"/>
    <w:basedOn w:val="DefaultParagraphFont"/>
    <w:link w:val="Title"/>
    <w:uiPriority w:val="10"/>
    <w:rsid w:val="005672D8"/>
    <w:rPr>
      <w:rFonts w:ascii="Calibri Light" w:eastAsia="Times New Roman" w:hAnsi="Calibri Light" w:cs="Times New Roman"/>
      <w:iCs/>
      <w:color w:val="85754E" w:themeColor="background2"/>
      <w:spacing w:val="10"/>
      <w:sz w:val="52"/>
      <w:szCs w:val="48"/>
      <w:lang w:bidi="en-US"/>
    </w:rPr>
  </w:style>
  <w:style w:type="paragraph" w:customStyle="1" w:styleId="Default">
    <w:name w:val="Default"/>
    <w:rsid w:val="00481A71"/>
    <w:pPr>
      <w:autoSpaceDE w:val="0"/>
      <w:autoSpaceDN w:val="0"/>
      <w:adjustRightInd w:val="0"/>
      <w:spacing w:after="0" w:line="240" w:lineRule="auto"/>
    </w:pPr>
    <w:rPr>
      <w:rFonts w:ascii="Trajan" w:eastAsia="Calibri" w:hAnsi="Trajan" w:cs="Trajan"/>
      <w:color w:val="000000"/>
      <w:sz w:val="24"/>
      <w:szCs w:val="24"/>
    </w:rPr>
  </w:style>
  <w:style w:type="paragraph" w:styleId="BalloonText">
    <w:name w:val="Balloon Text"/>
    <w:basedOn w:val="Normal"/>
    <w:link w:val="BalloonTextChar"/>
    <w:uiPriority w:val="99"/>
    <w:semiHidden/>
    <w:unhideWhenUsed/>
    <w:rsid w:val="00481A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1A71"/>
    <w:rPr>
      <w:rFonts w:ascii="Tahoma" w:hAnsi="Tahoma" w:cs="Tahoma"/>
      <w:sz w:val="16"/>
      <w:szCs w:val="16"/>
    </w:rPr>
  </w:style>
  <w:style w:type="character" w:styleId="CommentReference">
    <w:name w:val="annotation reference"/>
    <w:basedOn w:val="DefaultParagraphFont"/>
    <w:uiPriority w:val="99"/>
    <w:semiHidden/>
    <w:unhideWhenUsed/>
    <w:rsid w:val="00481A71"/>
    <w:rPr>
      <w:sz w:val="16"/>
      <w:szCs w:val="16"/>
    </w:rPr>
  </w:style>
  <w:style w:type="paragraph" w:styleId="CommentText">
    <w:name w:val="annotation text"/>
    <w:basedOn w:val="Normal"/>
    <w:link w:val="CommentTextChar"/>
    <w:uiPriority w:val="99"/>
    <w:semiHidden/>
    <w:unhideWhenUsed/>
    <w:rsid w:val="00481A71"/>
    <w:pPr>
      <w:spacing w:line="240" w:lineRule="auto"/>
    </w:pPr>
    <w:rPr>
      <w:sz w:val="20"/>
      <w:szCs w:val="20"/>
    </w:rPr>
  </w:style>
  <w:style w:type="character" w:customStyle="1" w:styleId="CommentTextChar">
    <w:name w:val="Comment Text Char"/>
    <w:basedOn w:val="DefaultParagraphFont"/>
    <w:link w:val="CommentText"/>
    <w:uiPriority w:val="99"/>
    <w:semiHidden/>
    <w:rsid w:val="00481A71"/>
    <w:rPr>
      <w:sz w:val="20"/>
      <w:szCs w:val="20"/>
    </w:rPr>
  </w:style>
  <w:style w:type="paragraph" w:styleId="CommentSubject">
    <w:name w:val="annotation subject"/>
    <w:basedOn w:val="CommentText"/>
    <w:next w:val="CommentText"/>
    <w:link w:val="CommentSubjectChar"/>
    <w:uiPriority w:val="99"/>
    <w:semiHidden/>
    <w:unhideWhenUsed/>
    <w:rsid w:val="00481A71"/>
    <w:rPr>
      <w:b/>
      <w:bCs/>
    </w:rPr>
  </w:style>
  <w:style w:type="character" w:customStyle="1" w:styleId="CommentSubjectChar">
    <w:name w:val="Comment Subject Char"/>
    <w:basedOn w:val="CommentTextChar"/>
    <w:link w:val="CommentSubject"/>
    <w:uiPriority w:val="99"/>
    <w:semiHidden/>
    <w:rsid w:val="00481A71"/>
    <w:rPr>
      <w:b/>
      <w:bCs/>
      <w:sz w:val="20"/>
      <w:szCs w:val="20"/>
    </w:rPr>
  </w:style>
  <w:style w:type="character" w:styleId="PlaceholderText">
    <w:name w:val="Placeholder Text"/>
    <w:basedOn w:val="DefaultParagraphFont"/>
    <w:uiPriority w:val="99"/>
    <w:rsid w:val="00481A71"/>
    <w:rPr>
      <w:color w:val="808080"/>
    </w:rPr>
  </w:style>
  <w:style w:type="table" w:customStyle="1" w:styleId="LightList-Accent13">
    <w:name w:val="Light List - Accent 13"/>
    <w:basedOn w:val="TableNormal"/>
    <w:uiPriority w:val="61"/>
    <w:rsid w:val="009A1740"/>
    <w:pPr>
      <w:spacing w:after="0" w:line="240" w:lineRule="auto"/>
    </w:pPr>
    <w:tblPr>
      <w:tblStyleRowBandSize w:val="1"/>
      <w:tblStyleColBandSize w:val="1"/>
      <w:tblBorders>
        <w:top w:val="single" w:sz="8" w:space="0" w:color="1C3867" w:themeColor="accent1"/>
        <w:left w:val="single" w:sz="8" w:space="0" w:color="1C3867" w:themeColor="accent1"/>
        <w:bottom w:val="single" w:sz="8" w:space="0" w:color="1C3867" w:themeColor="accent1"/>
        <w:right w:val="single" w:sz="8" w:space="0" w:color="1C3867" w:themeColor="accent1"/>
      </w:tblBorders>
    </w:tblPr>
    <w:tblStylePr w:type="firstRow">
      <w:pPr>
        <w:spacing w:before="0" w:after="0" w:line="240" w:lineRule="auto"/>
      </w:pPr>
      <w:rPr>
        <w:b/>
        <w:bCs/>
        <w:color w:val="FFFFFF" w:themeColor="background1"/>
      </w:rPr>
      <w:tblPr/>
      <w:tcPr>
        <w:shd w:val="clear" w:color="auto" w:fill="1C3867" w:themeFill="accent1"/>
      </w:tcPr>
    </w:tblStylePr>
    <w:tblStylePr w:type="lastRow">
      <w:pPr>
        <w:spacing w:before="0" w:after="0" w:line="240" w:lineRule="auto"/>
      </w:pPr>
      <w:rPr>
        <w:b/>
        <w:bCs/>
      </w:rPr>
      <w:tblPr/>
      <w:tcPr>
        <w:tcBorders>
          <w:top w:val="double" w:sz="6" w:space="0" w:color="1C3867" w:themeColor="accent1"/>
          <w:left w:val="single" w:sz="8" w:space="0" w:color="1C3867" w:themeColor="accent1"/>
          <w:bottom w:val="single" w:sz="8" w:space="0" w:color="1C3867" w:themeColor="accent1"/>
          <w:right w:val="single" w:sz="8" w:space="0" w:color="1C3867" w:themeColor="accent1"/>
        </w:tcBorders>
      </w:tcPr>
    </w:tblStylePr>
    <w:tblStylePr w:type="firstCol">
      <w:rPr>
        <w:b/>
        <w:bCs/>
      </w:rPr>
    </w:tblStylePr>
    <w:tblStylePr w:type="lastCol">
      <w:rPr>
        <w:b/>
        <w:bCs/>
      </w:rPr>
    </w:tblStylePr>
    <w:tblStylePr w:type="band1Vert">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tblStylePr w:type="band1Horz">
      <w:tblPr/>
      <w:tcPr>
        <w:tcBorders>
          <w:top w:val="single" w:sz="8" w:space="0" w:color="1C3867" w:themeColor="accent1"/>
          <w:left w:val="single" w:sz="8" w:space="0" w:color="1C3867" w:themeColor="accent1"/>
          <w:bottom w:val="single" w:sz="8" w:space="0" w:color="1C3867" w:themeColor="accent1"/>
          <w:right w:val="single" w:sz="8" w:space="0" w:color="1C3867" w:themeColor="accent1"/>
        </w:tcBorders>
      </w:tcPr>
    </w:tblStylePr>
  </w:style>
  <w:style w:type="table" w:customStyle="1" w:styleId="LightList-Accent111">
    <w:name w:val="Light List - Accent 111"/>
    <w:basedOn w:val="TableNormal"/>
    <w:rsid w:val="00A933B9"/>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NoSpacing">
    <w:name w:val="No Spacing"/>
    <w:basedOn w:val="Normal"/>
    <w:link w:val="NoSpacingChar"/>
    <w:uiPriority w:val="1"/>
    <w:qFormat/>
    <w:rsid w:val="00A933B9"/>
    <w:pPr>
      <w:spacing w:after="0" w:line="240" w:lineRule="auto"/>
    </w:pPr>
    <w:rPr>
      <w:iCs/>
      <w:szCs w:val="20"/>
      <w:lang w:eastAsia="en-US"/>
    </w:rPr>
  </w:style>
  <w:style w:type="character" w:customStyle="1" w:styleId="NoSpacingChar">
    <w:name w:val="No Spacing Char"/>
    <w:basedOn w:val="DefaultParagraphFont"/>
    <w:link w:val="NoSpacing"/>
    <w:uiPriority w:val="1"/>
    <w:rsid w:val="00A933B9"/>
    <w:rPr>
      <w:iCs/>
      <w:szCs w:val="20"/>
      <w:lang w:eastAsia="en-US"/>
    </w:rPr>
  </w:style>
  <w:style w:type="table" w:customStyle="1" w:styleId="LightList-Accent121">
    <w:name w:val="Light List - Accent 121"/>
    <w:basedOn w:val="TableNormal"/>
    <w:rsid w:val="00CF779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jc w:val="left"/>
      </w:pPr>
      <w:rPr>
        <w:b/>
        <w:bCs/>
        <w:color w:val="FFFFFF"/>
      </w:rPr>
      <w:tblPr/>
      <w:tcPr>
        <w:shd w:val="clear" w:color="auto" w:fill="1F497D"/>
      </w:tcPr>
    </w:tblStylePr>
    <w:tblStylePr w:type="lastRow">
      <w:pPr>
        <w:spacing w:before="0" w:after="0" w:line="240" w:lineRule="auto"/>
      </w:pPr>
      <w:rPr>
        <w:b/>
        <w:bCs/>
      </w:rPr>
      <w:tblPr/>
      <w:tcPr>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table" w:customStyle="1" w:styleId="LightList-Accent112">
    <w:name w:val="Light List - Accent 112"/>
    <w:basedOn w:val="TableNormal"/>
    <w:rsid w:val="005970B1"/>
    <w:pPr>
      <w:spacing w:after="0" w:line="240" w:lineRule="auto"/>
    </w:pPr>
    <w:rPr>
      <w:rFonts w:ascii="Calibri" w:eastAsia="Times New Roman" w:hAnsi="Calibri" w:cs="Times New Roman"/>
      <w:sz w:val="20"/>
      <w:szCs w:val="20"/>
      <w:lang w:val="en-US"/>
    </w:rPr>
    <w:tblPr>
      <w:tblStyleRowBandSize w:val="1"/>
      <w:tblStyleColBandSize w:val="1"/>
      <w:tbl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blBorders>
    </w:tblPr>
    <w:tblStylePr w:type="firstRow">
      <w:pPr>
        <w:spacing w:before="0" w:after="0" w:line="240" w:lineRule="auto"/>
      </w:pPr>
      <w:rPr>
        <w:b/>
        <w:bCs/>
        <w:color w:val="FFFFFF" w:themeColor="background1"/>
      </w:rPr>
      <w:tblPr/>
      <w:tcPr>
        <w:shd w:val="clear" w:color="auto" w:fill="1C3867" w:themeFill="text2"/>
      </w:tcPr>
    </w:tblStylePr>
    <w:tblStylePr w:type="lastRow">
      <w:pPr>
        <w:spacing w:before="0" w:after="0" w:line="240" w:lineRule="auto"/>
      </w:pPr>
      <w:rPr>
        <w:b/>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shd w:val="clear" w:color="auto" w:fill="C3D3EE" w:themeFill="text2" w:themeFillTint="33"/>
      </w:tcPr>
    </w:tblStylePr>
    <w:tblStylePr w:type="fir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lastCol">
      <w:rPr>
        <w:b w:val="0"/>
        <w:bCs/>
      </w:rPr>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Vert">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1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tblStylePr w:type="band2Horz">
      <w:tblPr/>
      <w:tcPr>
        <w:tcBorders>
          <w:top w:val="single" w:sz="4" w:space="0" w:color="423A27" w:themeColor="background2" w:themeShade="80"/>
          <w:left w:val="single" w:sz="4" w:space="0" w:color="423A27" w:themeColor="background2" w:themeShade="80"/>
          <w:bottom w:val="single" w:sz="4" w:space="0" w:color="423A27" w:themeColor="background2" w:themeShade="80"/>
          <w:right w:val="single" w:sz="4" w:space="0" w:color="423A27" w:themeColor="background2" w:themeShade="80"/>
          <w:insideH w:val="single" w:sz="4" w:space="0" w:color="423A27" w:themeColor="background2" w:themeShade="80"/>
          <w:insideV w:val="single" w:sz="4" w:space="0" w:color="423A27" w:themeColor="background2" w:themeShade="80"/>
        </w:tcBorders>
      </w:tcPr>
    </w:tblStylePr>
  </w:style>
  <w:style w:type="paragraph" w:styleId="ListNumber">
    <w:name w:val="List Number"/>
    <w:basedOn w:val="Normal"/>
    <w:uiPriority w:val="99"/>
    <w:unhideWhenUsed/>
    <w:qFormat/>
    <w:rsid w:val="003F48A6"/>
    <w:pPr>
      <w:numPr>
        <w:numId w:val="4"/>
      </w:numPr>
      <w:contextualSpacing/>
    </w:pPr>
  </w:style>
  <w:style w:type="paragraph" w:customStyle="1" w:styleId="Spacer-1px">
    <w:name w:val="Spacer - 1px"/>
    <w:basedOn w:val="Normal"/>
    <w:rsid w:val="000F52AB"/>
    <w:pPr>
      <w:spacing w:before="0" w:after="0" w:line="240" w:lineRule="auto"/>
    </w:pPr>
    <w:rPr>
      <w:noProof/>
      <w:sz w:val="2"/>
      <w:szCs w:val="2"/>
    </w:rPr>
  </w:style>
  <w:style w:type="paragraph" w:styleId="Subtitle">
    <w:name w:val="Subtitle"/>
    <w:basedOn w:val="Normal"/>
    <w:next w:val="Normal"/>
    <w:link w:val="SubtitleChar"/>
    <w:uiPriority w:val="11"/>
    <w:qFormat/>
    <w:rsid w:val="00F07E81"/>
    <w:pPr>
      <w:spacing w:before="60" w:after="0" w:line="216" w:lineRule="auto"/>
    </w:pPr>
    <w:rPr>
      <w:sz w:val="23"/>
    </w:rPr>
  </w:style>
  <w:style w:type="character" w:customStyle="1" w:styleId="SubtitleChar">
    <w:name w:val="Subtitle Char"/>
    <w:basedOn w:val="DefaultParagraphFont"/>
    <w:link w:val="Subtitle"/>
    <w:uiPriority w:val="11"/>
    <w:rsid w:val="00F07E81"/>
    <w:rPr>
      <w:sz w:val="23"/>
    </w:rPr>
  </w:style>
  <w:style w:type="paragraph" w:customStyle="1" w:styleId="Spacer-cover">
    <w:name w:val="Spacer - cover"/>
    <w:basedOn w:val="Normal"/>
    <w:rsid w:val="005672D8"/>
    <w:pPr>
      <w:spacing w:after="9960"/>
    </w:pPr>
  </w:style>
  <w:style w:type="paragraph" w:customStyle="1" w:styleId="Coverservicesboxtext">
    <w:name w:val="Cover services box text"/>
    <w:basedOn w:val="Normal"/>
    <w:rsid w:val="00546F37"/>
    <w:pPr>
      <w:spacing w:before="0" w:after="0"/>
      <w:jc w:val="center"/>
    </w:pPr>
    <w:rPr>
      <w:b/>
      <w:caps/>
      <w:color w:val="FFFFFF" w:themeColor="background1"/>
      <w:sz w:val="27"/>
      <w:szCs w:val="27"/>
    </w:rPr>
  </w:style>
  <w:style w:type="paragraph" w:customStyle="1" w:styleId="Covercontactdetails">
    <w:name w:val="Cover contact details"/>
    <w:basedOn w:val="Normal"/>
    <w:rsid w:val="00050628"/>
    <w:pPr>
      <w:spacing w:before="0" w:after="0" w:line="240" w:lineRule="auto"/>
      <w:ind w:left="-142" w:right="-228"/>
      <w:jc w:val="center"/>
    </w:pPr>
    <w:rPr>
      <w:rFonts w:ascii="Calibri Light" w:hAnsi="Calibri Light"/>
      <w:sz w:val="21"/>
      <w:szCs w:val="21"/>
    </w:rPr>
  </w:style>
  <w:style w:type="paragraph" w:customStyle="1" w:styleId="Covercontactheading">
    <w:name w:val="Cover contact heading"/>
    <w:basedOn w:val="Covercontactdetails"/>
    <w:rsid w:val="00050628"/>
    <w:rPr>
      <w:sz w:val="23"/>
      <w:szCs w:val="23"/>
    </w:rPr>
  </w:style>
  <w:style w:type="character" w:customStyle="1" w:styleId="BoldBlue">
    <w:name w:val="Bold + Blue"/>
    <w:basedOn w:val="DefaultParagraphFont"/>
    <w:uiPriority w:val="1"/>
    <w:qFormat/>
    <w:rsid w:val="00050628"/>
    <w:rPr>
      <w:b/>
      <w:color w:val="1C3867" w:themeColor="text2"/>
    </w:rPr>
  </w:style>
  <w:style w:type="character" w:customStyle="1" w:styleId="Blue">
    <w:name w:val="Blue"/>
    <w:basedOn w:val="DefaultParagraphFont"/>
    <w:uiPriority w:val="1"/>
    <w:qFormat/>
    <w:rsid w:val="00D9079F"/>
    <w:rPr>
      <w:color w:val="1C3867" w:themeColor="text2"/>
    </w:rPr>
  </w:style>
  <w:style w:type="paragraph" w:customStyle="1" w:styleId="Coverheader">
    <w:name w:val="Cover header"/>
    <w:basedOn w:val="Header"/>
    <w:rsid w:val="00076007"/>
    <w:pPr>
      <w:ind w:right="0"/>
    </w:pPr>
    <w:rPr>
      <w:noProof/>
    </w:rPr>
  </w:style>
  <w:style w:type="character" w:styleId="PageNumber">
    <w:name w:val="page number"/>
    <w:uiPriority w:val="99"/>
    <w:unhideWhenUsed/>
    <w:rsid w:val="00B27AAF"/>
    <w:rPr>
      <w:color w:val="1C3867" w:themeColor="text2"/>
    </w:rPr>
  </w:style>
  <w:style w:type="paragraph" w:customStyle="1" w:styleId="CoverpageTitle">
    <w:name w:val="Coverpage Title"/>
    <w:basedOn w:val="Normal"/>
    <w:rsid w:val="003F65C3"/>
    <w:pPr>
      <w:spacing w:after="240"/>
    </w:pPr>
    <w:rPr>
      <w:rFonts w:ascii="Calibri Light" w:hAnsi="Calibri Light"/>
      <w:sz w:val="64"/>
      <w:szCs w:val="64"/>
    </w:rPr>
  </w:style>
  <w:style w:type="paragraph" w:customStyle="1" w:styleId="CoverpageSubtitle">
    <w:name w:val="Coverpage Subtitle"/>
    <w:basedOn w:val="Normal"/>
    <w:rsid w:val="00D467FF"/>
    <w:pPr>
      <w:spacing w:before="0" w:after="120" w:line="240" w:lineRule="auto"/>
      <w:ind w:right="346"/>
    </w:pPr>
    <w:rPr>
      <w:rFonts w:ascii="Calibri Light" w:eastAsia="Times New Roman" w:hAnsi="Calibri Light" w:cs="Times New Roman"/>
      <w:noProof/>
      <w:sz w:val="26"/>
      <w:szCs w:val="26"/>
      <w:lang w:val="en-US"/>
    </w:rPr>
  </w:style>
  <w:style w:type="paragraph" w:customStyle="1" w:styleId="CoverpageContactDetails">
    <w:name w:val="Coverpage Contact Details"/>
    <w:basedOn w:val="Normal"/>
    <w:rsid w:val="00D467FF"/>
    <w:pPr>
      <w:tabs>
        <w:tab w:val="left" w:pos="882"/>
      </w:tabs>
      <w:spacing w:before="0" w:after="120" w:line="240" w:lineRule="auto"/>
    </w:pPr>
    <w:rPr>
      <w:rFonts w:ascii="Calibri" w:eastAsia="Times New Roman" w:hAnsi="Calibri" w:cs="Times New Roman"/>
      <w:szCs w:val="20"/>
      <w:lang w:val="en-US"/>
    </w:rPr>
  </w:style>
  <w:style w:type="paragraph" w:styleId="TOCHeading">
    <w:name w:val="TOC Heading"/>
    <w:basedOn w:val="Normal"/>
    <w:next w:val="Normal"/>
    <w:uiPriority w:val="39"/>
    <w:unhideWhenUsed/>
    <w:rsid w:val="00546F37"/>
    <w:pPr>
      <w:spacing w:before="0" w:after="240" w:line="500" w:lineRule="exact"/>
    </w:pPr>
    <w:rPr>
      <w:b/>
      <w:caps/>
      <w:color w:val="1C3867" w:themeColor="text2"/>
      <w:sz w:val="48"/>
      <w:szCs w:val="48"/>
    </w:rPr>
  </w:style>
  <w:style w:type="paragraph" w:styleId="TOC1">
    <w:name w:val="toc 1"/>
    <w:basedOn w:val="DividerPageTitle"/>
    <w:next w:val="Normal"/>
    <w:autoRedefine/>
    <w:uiPriority w:val="39"/>
    <w:unhideWhenUsed/>
    <w:rsid w:val="00CB141D"/>
    <w:pPr>
      <w:pBdr>
        <w:between w:val="single" w:sz="4" w:space="1" w:color="85754E" w:themeColor="background2"/>
      </w:pBdr>
      <w:tabs>
        <w:tab w:val="right" w:pos="9072"/>
      </w:tabs>
      <w:spacing w:before="120" w:after="60"/>
      <w:ind w:left="0" w:right="1655" w:firstLine="0"/>
    </w:pPr>
    <w:rPr>
      <w:b w:val="0"/>
      <w:noProof/>
      <w:color w:val="85754E" w:themeColor="accent2"/>
      <w:sz w:val="26"/>
    </w:rPr>
  </w:style>
  <w:style w:type="character" w:styleId="Hyperlink">
    <w:name w:val="Hyperlink"/>
    <w:basedOn w:val="DefaultParagraphFont"/>
    <w:uiPriority w:val="99"/>
    <w:unhideWhenUsed/>
    <w:rsid w:val="00546F37"/>
    <w:rPr>
      <w:color w:val="414042" w:themeColor="hyperlink"/>
      <w:u w:val="single"/>
    </w:rPr>
  </w:style>
  <w:style w:type="table" w:styleId="ListTable3-Accent1">
    <w:name w:val="List Table 3 Accent 1"/>
    <w:basedOn w:val="TableNormal"/>
    <w:uiPriority w:val="48"/>
    <w:rsid w:val="00B94863"/>
    <w:pPr>
      <w:spacing w:after="0" w:line="240" w:lineRule="auto"/>
    </w:pPr>
    <w:tblPr>
      <w:tblStyleRowBandSize w:val="1"/>
      <w:tblStyleColBandSize w:val="1"/>
      <w:tblBorders>
        <w:top w:val="single" w:sz="4" w:space="0" w:color="1C3867" w:themeColor="accent1"/>
        <w:left w:val="single" w:sz="4" w:space="0" w:color="1C3867" w:themeColor="accent1"/>
        <w:bottom w:val="single" w:sz="4" w:space="0" w:color="1C3867" w:themeColor="accent1"/>
        <w:right w:val="single" w:sz="4" w:space="0" w:color="1C3867" w:themeColor="accent1"/>
      </w:tblBorders>
    </w:tblPr>
    <w:tblStylePr w:type="firstRow">
      <w:rPr>
        <w:b/>
        <w:bCs/>
        <w:color w:val="FFFFFF" w:themeColor="background1"/>
      </w:rPr>
      <w:tblPr/>
      <w:tcPr>
        <w:shd w:val="clear" w:color="auto" w:fill="1C3867" w:themeFill="accent1"/>
      </w:tcPr>
    </w:tblStylePr>
    <w:tblStylePr w:type="lastRow">
      <w:rPr>
        <w:b/>
        <w:bCs/>
      </w:rPr>
      <w:tblPr/>
      <w:tcPr>
        <w:tcBorders>
          <w:top w:val="double" w:sz="4" w:space="0" w:color="1C386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C3867" w:themeColor="accent1"/>
          <w:right w:val="single" w:sz="4" w:space="0" w:color="1C3867" w:themeColor="accent1"/>
        </w:tcBorders>
      </w:tcPr>
    </w:tblStylePr>
    <w:tblStylePr w:type="band1Horz">
      <w:tblPr/>
      <w:tcPr>
        <w:tcBorders>
          <w:top w:val="single" w:sz="4" w:space="0" w:color="1C3867" w:themeColor="accent1"/>
          <w:bottom w:val="single" w:sz="4" w:space="0" w:color="1C386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C3867" w:themeColor="accent1"/>
          <w:left w:val="nil"/>
        </w:tcBorders>
      </w:tcPr>
    </w:tblStylePr>
    <w:tblStylePr w:type="swCell">
      <w:tblPr/>
      <w:tcPr>
        <w:tcBorders>
          <w:top w:val="double" w:sz="4" w:space="0" w:color="1C3867" w:themeColor="accent1"/>
          <w:right w:val="nil"/>
        </w:tcBorders>
      </w:tcPr>
    </w:tblStylePr>
  </w:style>
  <w:style w:type="table" w:customStyle="1" w:styleId="HNWTable01">
    <w:name w:val="HNW Table 01"/>
    <w:basedOn w:val="TableNormal"/>
    <w:uiPriority w:val="99"/>
    <w:rsid w:val="00EC6793"/>
    <w:pPr>
      <w:spacing w:before="40" w:after="40"/>
    </w:pPr>
    <w:tblPr>
      <w:tblBorders>
        <w:bottom w:val="single" w:sz="4" w:space="0" w:color="85754E" w:themeColor="background2"/>
        <w:insideH w:val="single" w:sz="4" w:space="0" w:color="85754E" w:themeColor="background2"/>
      </w:tblBorders>
    </w:tblPr>
    <w:tblStylePr w:type="firstRow">
      <w:rPr>
        <w:b/>
        <w:color w:val="FFFFFF" w:themeColor="background1"/>
      </w:rPr>
      <w:tblPr>
        <w:tblCellMar>
          <w:top w:w="0" w:type="dxa"/>
          <w:left w:w="85" w:type="dxa"/>
          <w:bottom w:w="0" w:type="dxa"/>
          <w:right w:w="85" w:type="dxa"/>
        </w:tblCellMar>
      </w:tblPr>
      <w:tcPr>
        <w:tcBorders>
          <w:top w:val="nil"/>
          <w:left w:val="nil"/>
          <w:bottom w:val="nil"/>
          <w:right w:val="nil"/>
          <w:insideH w:val="nil"/>
          <w:insideV w:val="single" w:sz="4" w:space="0" w:color="FFFFFF" w:themeColor="background1"/>
          <w:tl2br w:val="nil"/>
          <w:tr2bl w:val="nil"/>
        </w:tcBorders>
        <w:shd w:val="clear" w:color="auto" w:fill="1C3867" w:themeFill="text2"/>
      </w:tcPr>
    </w:tblStylePr>
    <w:tblStylePr w:type="lastRow">
      <w:rPr>
        <w:b/>
      </w:rPr>
      <w:tblPr/>
      <w:tcPr>
        <w:tcBorders>
          <w:bottom w:val="single" w:sz="4" w:space="0" w:color="85754E" w:themeColor="background2"/>
        </w:tcBorders>
        <w:shd w:val="clear" w:color="auto" w:fill="F3F1ED" w:themeFill="accent6"/>
      </w:tcPr>
    </w:tblStylePr>
    <w:tblStylePr w:type="firstCol">
      <w:rPr>
        <w:b/>
        <w:color w:val="FFFFFF" w:themeColor="background1"/>
      </w:rPr>
      <w:tblPr/>
      <w:tcPr>
        <w:tcBorders>
          <w:bottom w:val="nil"/>
          <w:insideH w:val="dotted" w:sz="4" w:space="0" w:color="FFFFFF" w:themeColor="background1"/>
        </w:tcBorders>
        <w:shd w:val="clear" w:color="auto" w:fill="1C3867" w:themeFill="text2"/>
      </w:tcPr>
    </w:tblStylePr>
  </w:style>
  <w:style w:type="paragraph" w:customStyle="1" w:styleId="DividerPageTitle">
    <w:name w:val="Divider Page Title"/>
    <w:basedOn w:val="Title"/>
    <w:qFormat/>
    <w:rsid w:val="00AE7144"/>
    <w:pPr>
      <w:ind w:left="4536" w:right="-472" w:hanging="4962"/>
    </w:pPr>
    <w:rPr>
      <w:rFonts w:asciiTheme="majorHAnsi" w:hAnsiTheme="majorHAnsi"/>
      <w:b/>
    </w:rPr>
  </w:style>
  <w:style w:type="paragraph" w:styleId="ListNumber2">
    <w:name w:val="List Number 2"/>
    <w:basedOn w:val="Normal"/>
    <w:uiPriority w:val="99"/>
    <w:unhideWhenUsed/>
    <w:qFormat/>
    <w:rsid w:val="000B4975"/>
    <w:pPr>
      <w:numPr>
        <w:numId w:val="5"/>
      </w:numPr>
      <w:ind w:left="714" w:hanging="357"/>
      <w:contextualSpacing/>
    </w:pPr>
  </w:style>
  <w:style w:type="paragraph" w:styleId="ListBullet2">
    <w:name w:val="List Bullet 2"/>
    <w:basedOn w:val="Normal"/>
    <w:uiPriority w:val="99"/>
    <w:unhideWhenUsed/>
    <w:qFormat/>
    <w:rsid w:val="000B4975"/>
    <w:pPr>
      <w:numPr>
        <w:numId w:val="3"/>
      </w:numPr>
      <w:ind w:left="714" w:hanging="357"/>
      <w:contextualSpacing/>
    </w:pPr>
  </w:style>
  <w:style w:type="paragraph" w:customStyle="1" w:styleId="DividerPageNumber">
    <w:name w:val="Divider Page Number"/>
    <w:basedOn w:val="DividerPageTitle"/>
    <w:qFormat/>
    <w:rsid w:val="003C5147"/>
    <w:pPr>
      <w:spacing w:before="240" w:after="0"/>
    </w:pPr>
    <w:rPr>
      <w:rFonts w:ascii="Calibri Light" w:hAnsi="Calibri Light"/>
      <w:b w:val="0"/>
      <w:color w:val="C2B8A4" w:themeColor="accent6" w:themeShade="BF"/>
      <w:sz w:val="100"/>
      <w:szCs w:val="100"/>
    </w:rPr>
  </w:style>
  <w:style w:type="paragraph" w:styleId="TOC2">
    <w:name w:val="toc 2"/>
    <w:basedOn w:val="Normal"/>
    <w:next w:val="Normal"/>
    <w:autoRedefine/>
    <w:uiPriority w:val="39"/>
    <w:unhideWhenUsed/>
    <w:rsid w:val="00CB141D"/>
    <w:pPr>
      <w:tabs>
        <w:tab w:val="right" w:pos="7371"/>
      </w:tabs>
      <w:ind w:left="220" w:right="1655"/>
    </w:pPr>
  </w:style>
  <w:style w:type="table" w:customStyle="1" w:styleId="LightList-Accent113">
    <w:name w:val="Light List - Accent 113"/>
    <w:basedOn w:val="TableNormal"/>
    <w:rsid w:val="00EA5C5F"/>
    <w:pPr>
      <w:spacing w:before="0" w:after="0" w:line="240" w:lineRule="auto"/>
    </w:pPr>
    <w:rPr>
      <w:rFonts w:ascii="Calibri" w:eastAsia="Times New Roman" w:hAnsi="Calibri" w:cs="Times New Roman"/>
      <w:color w:val="auto"/>
      <w:sz w:val="20"/>
      <w:szCs w:val="20"/>
      <w:lang w:val="en-US"/>
    </w:rPr>
    <w:tblPr>
      <w:tblStyleRowBandSize w:val="1"/>
      <w:tblStyleColBandSize w:val="1"/>
      <w:tblBorders>
        <w:top w:val="single" w:sz="4" w:space="0" w:color="948A54"/>
        <w:left w:val="single" w:sz="4" w:space="0" w:color="948A54"/>
        <w:bottom w:val="single" w:sz="4" w:space="0" w:color="948A54"/>
        <w:right w:val="single" w:sz="4" w:space="0" w:color="948A54"/>
        <w:insideH w:val="single" w:sz="4" w:space="0" w:color="948A54"/>
        <w:insideV w:val="single" w:sz="4" w:space="0" w:color="948A54"/>
      </w:tblBorders>
    </w:tblPr>
    <w:tblStylePr w:type="firstRow">
      <w:pPr>
        <w:spacing w:before="0" w:after="0" w:line="240" w:lineRule="auto"/>
      </w:pPr>
      <w:rPr>
        <w:b/>
        <w:bCs/>
        <w:color w:val="FFFFFF"/>
      </w:rPr>
      <w:tblPr/>
      <w:tcPr>
        <w:shd w:val="clear" w:color="auto" w:fill="1F497D"/>
      </w:tcPr>
    </w:tblStylePr>
    <w:tblStylePr w:type="lastRow">
      <w:pPr>
        <w:spacing w:before="0" w:after="0" w:line="240" w:lineRule="auto"/>
      </w:pPr>
      <w:rPr>
        <w:b/>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shd w:val="clear" w:color="auto" w:fill="C6D9F1"/>
      </w:tcPr>
    </w:tblStylePr>
    <w:tblStylePr w:type="fir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lastCol">
      <w:rPr>
        <w:b w:val="0"/>
        <w:bCs/>
      </w:rPr>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Vert">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1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tblStylePr w:type="band2Horz">
      <w:tblPr/>
      <w:tcPr>
        <w:tcBorders>
          <w:top w:val="single" w:sz="4" w:space="0" w:color="948A54"/>
          <w:left w:val="single" w:sz="4" w:space="0" w:color="948A54"/>
          <w:bottom w:val="single" w:sz="4" w:space="0" w:color="948A54"/>
          <w:right w:val="single" w:sz="4" w:space="0" w:color="948A54"/>
          <w:insideH w:val="single" w:sz="4" w:space="0" w:color="948A54"/>
          <w:insideV w:val="single" w:sz="4" w:space="0" w:color="948A54"/>
        </w:tcBorders>
      </w:tcPr>
    </w:tblStylePr>
  </w:style>
  <w:style w:type="character" w:styleId="SubtleEmphasis">
    <w:name w:val="Subtle Emphasis"/>
    <w:uiPriority w:val="19"/>
    <w:qFormat/>
    <w:rsid w:val="00EA5C5F"/>
    <w:rPr>
      <w:i/>
      <w:iCs/>
      <w:color w:val="0E1B33" w:themeColor="accent1" w:themeShade="7F"/>
    </w:rPr>
  </w:style>
  <w:style w:type="paragraph" w:customStyle="1" w:styleId="gmail-msolistparagraph">
    <w:name w:val="gmail-msolistparagraph"/>
    <w:basedOn w:val="Normal"/>
    <w:rsid w:val="00205A1C"/>
    <w:pPr>
      <w:spacing w:beforeAutospacing="1" w:afterAutospacing="1" w:line="240" w:lineRule="auto"/>
    </w:pPr>
    <w:rPr>
      <w:rFonts w:ascii="Calibri" w:eastAsiaTheme="minorHAnsi" w:hAnsi="Calibri" w:cs="Calibr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060596">
      <w:bodyDiv w:val="1"/>
      <w:marLeft w:val="0"/>
      <w:marRight w:val="0"/>
      <w:marTop w:val="0"/>
      <w:marBottom w:val="0"/>
      <w:divBdr>
        <w:top w:val="none" w:sz="0" w:space="0" w:color="auto"/>
        <w:left w:val="none" w:sz="0" w:space="0" w:color="auto"/>
        <w:bottom w:val="none" w:sz="0" w:space="0" w:color="auto"/>
        <w:right w:val="none" w:sz="0" w:space="0" w:color="auto"/>
      </w:divBdr>
    </w:div>
    <w:div w:id="805590100">
      <w:bodyDiv w:val="1"/>
      <w:marLeft w:val="0"/>
      <w:marRight w:val="0"/>
      <w:marTop w:val="0"/>
      <w:marBottom w:val="0"/>
      <w:divBdr>
        <w:top w:val="none" w:sz="0" w:space="0" w:color="auto"/>
        <w:left w:val="none" w:sz="0" w:space="0" w:color="auto"/>
        <w:bottom w:val="none" w:sz="0" w:space="0" w:color="auto"/>
        <w:right w:val="none" w:sz="0" w:space="0" w:color="auto"/>
      </w:divBdr>
    </w:div>
    <w:div w:id="108391741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fontTable" Target="fontTable.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footer" Target="footer1.xml"/><Relationship Id="rId27" Type="http://schemas.openxmlformats.org/officeDocument/2006/relationships/customXml" Target="../customXml/item4.xml"/></Relationships>
</file>

<file path=word/theme/theme1.xml><?xml version="1.0" encoding="utf-8"?>
<a:theme xmlns:a="http://schemas.openxmlformats.org/drawingml/2006/main" name="Office Theme">
  <a:themeElements>
    <a:clrScheme name="HNW Planning">
      <a:dk1>
        <a:srgbClr val="414042"/>
      </a:dk1>
      <a:lt1>
        <a:sysClr val="window" lastClr="FFFFFF"/>
      </a:lt1>
      <a:dk2>
        <a:srgbClr val="1C3867"/>
      </a:dk2>
      <a:lt2>
        <a:srgbClr val="85754E"/>
      </a:lt2>
      <a:accent1>
        <a:srgbClr val="1C3867"/>
      </a:accent1>
      <a:accent2>
        <a:srgbClr val="85754E"/>
      </a:accent2>
      <a:accent3>
        <a:srgbClr val="BFBFBF"/>
      </a:accent3>
      <a:accent4>
        <a:srgbClr val="D8E3F4"/>
      </a:accent4>
      <a:accent5>
        <a:srgbClr val="8FAEE1"/>
      </a:accent5>
      <a:accent6>
        <a:srgbClr val="F3F1ED"/>
      </a:accent6>
      <a:hlink>
        <a:srgbClr val="414042"/>
      </a:hlink>
      <a:folHlink>
        <a:srgbClr val="414042"/>
      </a:folHlink>
    </a:clrScheme>
    <a:fontScheme name="HNW Planning">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CB7E12DB769164D9B28CF2966ED06A5" ma:contentTypeVersion="20" ma:contentTypeDescription="Create a new document." ma:contentTypeScope="" ma:versionID="ddb97c00facfe810765aaa0cbb06487b">
  <xsd:schema xmlns:xsd="http://www.w3.org/2001/XMLSchema" xmlns:xs="http://www.w3.org/2001/XMLSchema" xmlns:p="http://schemas.microsoft.com/office/2006/metadata/properties" xmlns:ns1="http://schemas.microsoft.com/sharepoint/v3" xmlns:ns2="05ed5d80-5be2-462c-bec3-14caa38b63ef" xmlns:ns3="d34886c6-c96d-4e06-9b0f-8bf2e5627e94" targetNamespace="http://schemas.microsoft.com/office/2006/metadata/properties" ma:root="true" ma:fieldsID="438fa0a0c35e38fecfbe786811ed0774" ns1:_="" ns2:_="" ns3:_="">
    <xsd:import namespace="http://schemas.microsoft.com/sharepoint/v3"/>
    <xsd:import namespace="05ed5d80-5be2-462c-bec3-14caa38b63ef"/>
    <xsd:import namespace="d34886c6-c96d-4e06-9b0f-8bf2e5627e9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6" nillable="true" ma:displayName="Unified Compliance Policy Properties" ma:hidden="true" ma:internalName="_ip_UnifiedCompliancePolicyProperties">
      <xsd:simpleType>
        <xsd:restriction base="dms:Note"/>
      </xsd:simpleType>
    </xsd:element>
    <xsd:element name="_ip_UnifiedCompliancePolicyUIAction" ma:index="2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ed5d80-5be2-462c-bec3-14caa38b63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180ed09-d592-4bd7-b427-6fdad931ee6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4886c6-c96d-4e06-9b0f-8bf2e5627e9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3e7be3a-e7a5-4894-b300-2d15a6cac6d7}" ma:internalName="TaxCatchAll" ma:showField="CatchAllData" ma:web="d34886c6-c96d-4e06-9b0f-8bf2e5627e9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05ed5d80-5be2-462c-bec3-14caa38b63ef">
      <Terms xmlns="http://schemas.microsoft.com/office/infopath/2007/PartnerControls"/>
    </lcf76f155ced4ddcb4097134ff3c332f>
    <TaxCatchAll xmlns="d34886c6-c96d-4e06-9b0f-8bf2e5627e94" xsi:nil="true"/>
  </documentManagement>
</p:properties>
</file>

<file path=customXml/itemProps1.xml><?xml version="1.0" encoding="utf-8"?>
<ds:datastoreItem xmlns:ds="http://schemas.openxmlformats.org/officeDocument/2006/customXml" ds:itemID="{AC1015A8-CD1F-494F-AD69-791D596A9360}">
  <ds:schemaRefs>
    <ds:schemaRef ds:uri="http://schemas.openxmlformats.org/officeDocument/2006/bibliography"/>
  </ds:schemaRefs>
</ds:datastoreItem>
</file>

<file path=customXml/itemProps2.xml><?xml version="1.0" encoding="utf-8"?>
<ds:datastoreItem xmlns:ds="http://schemas.openxmlformats.org/officeDocument/2006/customXml" ds:itemID="{E661862E-84F9-4D8F-8845-445465362B81}"/>
</file>

<file path=customXml/itemProps3.xml><?xml version="1.0" encoding="utf-8"?>
<ds:datastoreItem xmlns:ds="http://schemas.openxmlformats.org/officeDocument/2006/customXml" ds:itemID="{E7A520C1-F81B-475D-8711-748A7BD53F1A}"/>
</file>

<file path=customXml/itemProps4.xml><?xml version="1.0" encoding="utf-8"?>
<ds:datastoreItem xmlns:ds="http://schemas.openxmlformats.org/officeDocument/2006/customXml" ds:itemID="{AD884080-1034-490D-8F1A-536F2E860A5F}"/>
</file>

<file path=docProps/app.xml><?xml version="1.0" encoding="utf-8"?>
<Properties xmlns="http://schemas.openxmlformats.org/officeDocument/2006/extended-properties" xmlns:vt="http://schemas.openxmlformats.org/officeDocument/2006/docPropsVTypes">
  <Template>Normal</Template>
  <TotalTime>2</TotalTime>
  <Pages>15</Pages>
  <Words>3521</Words>
  <Characters>20072</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23546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dc:creator>
  <cp:keywords/>
  <dc:description/>
  <cp:lastModifiedBy>Tracy Brown</cp:lastModifiedBy>
  <cp:revision>2</cp:revision>
  <cp:lastPrinted>2019-09-12T06:02:00Z</cp:lastPrinted>
  <dcterms:created xsi:type="dcterms:W3CDTF">2025-06-17T23:33:00Z</dcterms:created>
  <dcterms:modified xsi:type="dcterms:W3CDTF">2025-06-17T23:33:00Z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0x0101002CB7E12DB769164D9B28CF2966ED06A5</vt:lpwstr>
  </property>
</Properties>
</file>